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08C5B2F0" w:rsidR="00E90E49" w:rsidRPr="00F43372" w:rsidRDefault="00E90E49" w:rsidP="007E08F4">
      <w:pPr>
        <w:pStyle w:val="3GPPHeader"/>
        <w:rPr>
          <w:sz w:val="32"/>
          <w:szCs w:val="32"/>
          <w:highlight w:val="yellow"/>
          <w:lang w:val="en-US"/>
        </w:rPr>
      </w:pPr>
      <w:r w:rsidRPr="00F43372">
        <w:rPr>
          <w:lang w:val="en-US"/>
        </w:rPr>
        <w:t>3GPP TSG-RAN WG</w:t>
      </w:r>
      <w:r w:rsidR="008F1C4E" w:rsidRPr="00F43372">
        <w:rPr>
          <w:lang w:val="en-US"/>
        </w:rPr>
        <w:t>1</w:t>
      </w:r>
      <w:r w:rsidRPr="00F43372">
        <w:rPr>
          <w:lang w:val="en-US"/>
        </w:rPr>
        <w:t xml:space="preserve"> </w:t>
      </w:r>
      <w:r w:rsidR="008F1C4E" w:rsidRPr="00F43372">
        <w:rPr>
          <w:lang w:val="en-US"/>
        </w:rPr>
        <w:t xml:space="preserve">Meeting </w:t>
      </w:r>
      <w:r w:rsidRPr="00F43372">
        <w:rPr>
          <w:lang w:val="en-US"/>
        </w:rPr>
        <w:t>#</w:t>
      </w:r>
      <w:r w:rsidR="0083546B" w:rsidRPr="00F43372">
        <w:rPr>
          <w:lang w:val="en-US"/>
        </w:rPr>
        <w:t>10</w:t>
      </w:r>
      <w:r w:rsidR="00D06FCC" w:rsidRPr="00F43372">
        <w:rPr>
          <w:lang w:val="en-US"/>
        </w:rPr>
        <w:t>4</w:t>
      </w:r>
      <w:r w:rsidR="007110DA">
        <w:rPr>
          <w:lang w:val="en-US"/>
        </w:rPr>
        <w:t>bis</w:t>
      </w:r>
      <w:r w:rsidR="0083546B" w:rsidRPr="00F43372">
        <w:rPr>
          <w:lang w:val="en-US"/>
        </w:rPr>
        <w:t>-e</w:t>
      </w:r>
      <w:r w:rsidRPr="00F43372">
        <w:rPr>
          <w:lang w:val="en-US"/>
        </w:rPr>
        <w:tab/>
      </w:r>
      <w:proofErr w:type="spellStart"/>
      <w:r w:rsidRPr="007B1E70">
        <w:rPr>
          <w:sz w:val="32"/>
          <w:szCs w:val="32"/>
          <w:lang w:val="en-US"/>
        </w:rPr>
        <w:t>Tdoc</w:t>
      </w:r>
      <w:proofErr w:type="spellEnd"/>
      <w:r w:rsidRPr="007B1E70">
        <w:rPr>
          <w:sz w:val="32"/>
          <w:szCs w:val="32"/>
          <w:lang w:val="en-US"/>
        </w:rPr>
        <w:t xml:space="preserve"> </w:t>
      </w:r>
      <w:r w:rsidR="007B1E70" w:rsidRPr="007B1E70">
        <w:rPr>
          <w:sz w:val="32"/>
          <w:szCs w:val="32"/>
          <w:lang w:val="en-US"/>
        </w:rPr>
        <w:t>R1-2102958</w:t>
      </w:r>
    </w:p>
    <w:p w14:paraId="2E2C6C25" w14:textId="77777777" w:rsidR="007110DA" w:rsidRPr="007B1E70" w:rsidRDefault="007110DA" w:rsidP="007110DA">
      <w:pPr>
        <w:pStyle w:val="3GPPHeader"/>
        <w:rPr>
          <w:lang w:val="en-US"/>
        </w:rPr>
      </w:pPr>
      <w:r w:rsidRPr="007B1E70">
        <w:rPr>
          <w:lang w:val="en-US"/>
        </w:rPr>
        <w:t>Online, April 12</w:t>
      </w:r>
      <w:r w:rsidRPr="007B1E70">
        <w:rPr>
          <w:vertAlign w:val="superscript"/>
          <w:lang w:val="en-US"/>
        </w:rPr>
        <w:t>th</w:t>
      </w:r>
      <w:r w:rsidRPr="007B1E70">
        <w:rPr>
          <w:lang w:val="en-US"/>
        </w:rPr>
        <w:t xml:space="preserve"> – 20</w:t>
      </w:r>
      <w:r w:rsidRPr="007B1E70">
        <w:rPr>
          <w:vertAlign w:val="superscript"/>
          <w:lang w:val="en-US"/>
        </w:rPr>
        <w:t>th</w:t>
      </w:r>
      <w:r w:rsidRPr="007B1E70">
        <w:rPr>
          <w:lang w:val="en-US"/>
        </w:rPr>
        <w:t>, 2021</w:t>
      </w:r>
    </w:p>
    <w:p w14:paraId="3086AC07" w14:textId="77777777" w:rsidR="00E90E49" w:rsidRPr="00F43372" w:rsidRDefault="00E90E49" w:rsidP="007E08F4">
      <w:pPr>
        <w:pStyle w:val="3GPPHeader"/>
        <w:rPr>
          <w:lang w:val="en-US"/>
        </w:rPr>
      </w:pPr>
    </w:p>
    <w:p w14:paraId="3982483C" w14:textId="2D640A2C" w:rsidR="00E90E49" w:rsidRPr="00F43372" w:rsidRDefault="00E90E49" w:rsidP="007E08F4">
      <w:pPr>
        <w:pStyle w:val="3GPPHeader"/>
        <w:rPr>
          <w:lang w:val="en-US"/>
        </w:rPr>
      </w:pPr>
      <w:r w:rsidRPr="00F43372">
        <w:rPr>
          <w:lang w:val="en-US"/>
        </w:rPr>
        <w:t>Agenda Item:</w:t>
      </w:r>
      <w:r w:rsidRPr="00F43372">
        <w:rPr>
          <w:lang w:val="en-US"/>
        </w:rPr>
        <w:tab/>
      </w:r>
      <w:r w:rsidR="009C2001" w:rsidRPr="00F43372">
        <w:rPr>
          <w:lang w:val="en-US"/>
        </w:rPr>
        <w:t>8.14.</w:t>
      </w:r>
      <w:r w:rsidR="00030DA2" w:rsidRPr="00F43372">
        <w:rPr>
          <w:lang w:val="en-US"/>
        </w:rPr>
        <w:t>4</w:t>
      </w:r>
    </w:p>
    <w:p w14:paraId="5619E868" w14:textId="77777777" w:rsidR="00E90E49" w:rsidRPr="00F43372" w:rsidRDefault="003D3C45" w:rsidP="007E08F4">
      <w:pPr>
        <w:pStyle w:val="3GPPHeader"/>
        <w:rPr>
          <w:lang w:val="en-US"/>
        </w:rPr>
      </w:pPr>
      <w:r w:rsidRPr="00F43372">
        <w:rPr>
          <w:lang w:val="en-US"/>
        </w:rPr>
        <w:t>Source:</w:t>
      </w:r>
      <w:r w:rsidR="00E90E49" w:rsidRPr="00F43372">
        <w:rPr>
          <w:lang w:val="en-US"/>
        </w:rPr>
        <w:tab/>
      </w:r>
      <w:r w:rsidR="00F64C2B" w:rsidRPr="00F43372">
        <w:rPr>
          <w:lang w:val="en-US"/>
        </w:rPr>
        <w:t>Ericsson</w:t>
      </w:r>
    </w:p>
    <w:p w14:paraId="3AF5C9FA" w14:textId="40556021" w:rsidR="00E90E49" w:rsidRPr="00F43372" w:rsidRDefault="003D3C45" w:rsidP="007E08F4">
      <w:pPr>
        <w:pStyle w:val="3GPPHeader"/>
        <w:rPr>
          <w:lang w:val="en-US"/>
        </w:rPr>
      </w:pPr>
      <w:r w:rsidRPr="00F43372">
        <w:rPr>
          <w:lang w:val="en-US"/>
        </w:rPr>
        <w:t>Title:</w:t>
      </w:r>
      <w:r w:rsidR="00E90E49" w:rsidRPr="00F43372">
        <w:rPr>
          <w:lang w:val="en-US"/>
        </w:rPr>
        <w:tab/>
      </w:r>
      <w:r w:rsidR="00030DA2" w:rsidRPr="00F43372">
        <w:rPr>
          <w:lang w:val="en-US"/>
        </w:rPr>
        <w:t xml:space="preserve">Mobility </w:t>
      </w:r>
      <w:r w:rsidR="00EF3E07" w:rsidRPr="00F43372">
        <w:rPr>
          <w:lang w:val="en-US"/>
        </w:rPr>
        <w:t>and</w:t>
      </w:r>
      <w:r w:rsidR="00030DA2" w:rsidRPr="00F43372">
        <w:rPr>
          <w:lang w:val="en-US"/>
        </w:rPr>
        <w:t xml:space="preserve"> XR applications</w:t>
      </w:r>
    </w:p>
    <w:p w14:paraId="2D5672ED" w14:textId="33D27B42" w:rsidR="00E90E49" w:rsidRPr="00F43372" w:rsidRDefault="00E90E49" w:rsidP="007E08F4">
      <w:pPr>
        <w:pStyle w:val="3GPPHeader"/>
        <w:rPr>
          <w:lang w:val="en-US"/>
        </w:rPr>
      </w:pPr>
      <w:r w:rsidRPr="00F43372">
        <w:rPr>
          <w:lang w:val="en-US"/>
        </w:rPr>
        <w:t>Document for:</w:t>
      </w:r>
      <w:r w:rsidRPr="00F43372">
        <w:rPr>
          <w:lang w:val="en-US"/>
        </w:rPr>
        <w:tab/>
        <w:t>Discussion</w:t>
      </w:r>
    </w:p>
    <w:p w14:paraId="6883CB62" w14:textId="77777777" w:rsidR="00E90E49" w:rsidRPr="00CE0424" w:rsidRDefault="00230D18" w:rsidP="00CE0424">
      <w:pPr>
        <w:pStyle w:val="Heading1"/>
      </w:pPr>
      <w:r>
        <w:t>1</w:t>
      </w:r>
      <w:r>
        <w:tab/>
      </w:r>
      <w:r w:rsidR="00E90E49" w:rsidRPr="00CE0424">
        <w:t>Introduction</w:t>
      </w:r>
    </w:p>
    <w:p w14:paraId="613764B4" w14:textId="3A7EEBE9" w:rsidR="00DF3625" w:rsidRPr="00F43372" w:rsidRDefault="005F27B9" w:rsidP="007E08F4">
      <w:pPr>
        <w:pStyle w:val="BodyText"/>
        <w:rPr>
          <w:lang w:val="en-US"/>
        </w:rPr>
      </w:pPr>
      <w:r w:rsidRPr="00F43372">
        <w:rPr>
          <w:lang w:val="en-US"/>
        </w:rPr>
        <w:t xml:space="preserve">In </w:t>
      </w:r>
      <w:r w:rsidRPr="007E08F4">
        <w:fldChar w:fldCharType="begin"/>
      </w:r>
      <w:r w:rsidRPr="00F43372">
        <w:rPr>
          <w:lang w:val="en-US"/>
        </w:rPr>
        <w:instrText xml:space="preserve"> REF _Ref54269807 \r \h </w:instrText>
      </w:r>
      <w:r w:rsidR="00025E16" w:rsidRPr="00F43372">
        <w:rPr>
          <w:lang w:val="en-US"/>
        </w:rPr>
        <w:instrText xml:space="preserve"> \* MERGEFORMAT </w:instrText>
      </w:r>
      <w:r w:rsidRPr="007E08F4">
        <w:fldChar w:fldCharType="separate"/>
      </w:r>
      <w:r w:rsidR="00200C26">
        <w:rPr>
          <w:lang w:val="en-US"/>
        </w:rPr>
        <w:t>[1]</w:t>
      </w:r>
      <w:r w:rsidRPr="007E08F4">
        <w:fldChar w:fldCharType="end"/>
      </w:r>
      <w:r w:rsidRPr="00F43372">
        <w:rPr>
          <w:lang w:val="en-US"/>
        </w:rPr>
        <w:t>, a new SI on evaluations for XR was agreed.</w:t>
      </w:r>
      <w:r w:rsidR="00DF3625" w:rsidRPr="00F43372">
        <w:rPr>
          <w:lang w:val="en-US"/>
        </w:rPr>
        <w:t xml:space="preserve"> One of the study areas that are listed in </w:t>
      </w:r>
      <w:r w:rsidR="00DF3625" w:rsidRPr="007E08F4">
        <w:fldChar w:fldCharType="begin"/>
      </w:r>
      <w:r w:rsidR="00DF3625" w:rsidRPr="00F43372">
        <w:rPr>
          <w:lang w:val="en-US"/>
        </w:rPr>
        <w:instrText xml:space="preserve"> REF _Ref61510381 \r \h </w:instrText>
      </w:r>
      <w:r w:rsidR="00025E16" w:rsidRPr="00F43372">
        <w:rPr>
          <w:lang w:val="en-US"/>
        </w:rPr>
        <w:instrText xml:space="preserve"> \* MERGEFORMAT </w:instrText>
      </w:r>
      <w:r w:rsidR="00DF3625" w:rsidRPr="007E08F4">
        <w:fldChar w:fldCharType="separate"/>
      </w:r>
      <w:r w:rsidR="00200C26">
        <w:rPr>
          <w:lang w:val="en-US"/>
        </w:rPr>
        <w:t>[1]</w:t>
      </w:r>
      <w:r w:rsidR="00DF3625" w:rsidRPr="007E08F4">
        <w:fldChar w:fldCharType="end"/>
      </w:r>
      <w:r w:rsidR="00DF3625" w:rsidRPr="00F43372">
        <w:rPr>
          <w:lang w:val="en-US"/>
        </w:rPr>
        <w:t xml:space="preserve"> is mobility. As XR and Cloud Gaming see consumer adoption, the services are expected to be consumed by users on the move. Minimizing user experience degradation through mobility events is a key consideration in enabling mass adoption of such services.</w:t>
      </w:r>
    </w:p>
    <w:p w14:paraId="1569081F" w14:textId="4036EE9A" w:rsidR="00DF3625" w:rsidRPr="00F43372" w:rsidRDefault="00DF3625" w:rsidP="007E08F4">
      <w:pPr>
        <w:pStyle w:val="BodyText"/>
        <w:rPr>
          <w:lang w:val="en-US"/>
        </w:rPr>
      </w:pPr>
      <w:r w:rsidRPr="00F43372">
        <w:rPr>
          <w:lang w:val="en-US"/>
        </w:rPr>
        <w:t xml:space="preserve">In this </w:t>
      </w:r>
      <w:r w:rsidRPr="00F43372">
        <w:rPr>
          <w:rStyle w:val="BodyTextChar"/>
          <w:lang w:val="en-US"/>
        </w:rPr>
        <w:t>contribution</w:t>
      </w:r>
      <w:r w:rsidRPr="00F43372">
        <w:rPr>
          <w:lang w:val="en-US"/>
        </w:rPr>
        <w:t>, we qualitatively discuss the mobility mechanisms available in Rel-</w:t>
      </w:r>
      <w:r w:rsidR="000129EF" w:rsidRPr="00F43372">
        <w:rPr>
          <w:lang w:val="en-US"/>
        </w:rPr>
        <w:t>15/</w:t>
      </w:r>
      <w:r w:rsidRPr="00F43372">
        <w:rPr>
          <w:lang w:val="en-US"/>
        </w:rPr>
        <w:t xml:space="preserve">16, </w:t>
      </w:r>
      <w:proofErr w:type="gramStart"/>
      <w:r w:rsidRPr="00F43372">
        <w:rPr>
          <w:lang w:val="en-US"/>
        </w:rPr>
        <w:t>and also</w:t>
      </w:r>
      <w:proofErr w:type="gramEnd"/>
      <w:r w:rsidRPr="00F43372">
        <w:rPr>
          <w:lang w:val="en-US"/>
        </w:rPr>
        <w:t xml:space="preserve"> provide an outlook to the ongoing work in Rel-17 to improve mobility performance.</w:t>
      </w:r>
      <w:r w:rsidR="007110DA">
        <w:rPr>
          <w:lang w:val="en-US"/>
        </w:rPr>
        <w:t xml:space="preserve"> This is a re</w:t>
      </w:r>
      <w:r w:rsidR="006D150D">
        <w:rPr>
          <w:lang w:val="en-US"/>
        </w:rPr>
        <w:t>vision</w:t>
      </w:r>
      <w:r w:rsidR="007110DA">
        <w:rPr>
          <w:lang w:val="en-US"/>
        </w:rPr>
        <w:t xml:space="preserve"> of R1-2101317.</w:t>
      </w:r>
    </w:p>
    <w:p w14:paraId="60123794" w14:textId="3B288459" w:rsidR="004000E8" w:rsidRDefault="00230D18" w:rsidP="00CE0424">
      <w:pPr>
        <w:pStyle w:val="Heading1"/>
      </w:pPr>
      <w:bookmarkStart w:id="0" w:name="_Ref178064866"/>
      <w:r>
        <w:t>2</w:t>
      </w:r>
      <w:r>
        <w:tab/>
      </w:r>
      <w:r w:rsidR="004000E8" w:rsidRPr="00CE0424">
        <w:t>Discussion</w:t>
      </w:r>
      <w:bookmarkEnd w:id="0"/>
    </w:p>
    <w:p w14:paraId="367A08AE" w14:textId="73A180F5" w:rsidR="00402AD6" w:rsidRPr="00CF773E" w:rsidRDefault="00540155" w:rsidP="007E08F4">
      <w:pPr>
        <w:pStyle w:val="BodyText"/>
        <w:rPr>
          <w:lang w:val="en-GB"/>
        </w:rPr>
      </w:pPr>
      <w:r w:rsidRPr="00CF773E">
        <w:rPr>
          <w:lang w:val="en-GB"/>
        </w:rPr>
        <w:t xml:space="preserve">XR services are </w:t>
      </w:r>
      <w:r w:rsidR="00E60B84" w:rsidRPr="00CF773E">
        <w:rPr>
          <w:lang w:val="en-GB"/>
        </w:rPr>
        <w:t xml:space="preserve">one of the key services for 5G. </w:t>
      </w:r>
      <w:r w:rsidR="00AE5032" w:rsidRPr="00CF773E">
        <w:rPr>
          <w:lang w:val="en-GB"/>
        </w:rPr>
        <w:t>XR require</w:t>
      </w:r>
      <w:r w:rsidR="00C37E77" w:rsidRPr="00CF773E">
        <w:rPr>
          <w:lang w:val="en-GB"/>
        </w:rPr>
        <w:t>s</w:t>
      </w:r>
      <w:r w:rsidR="00AE5032" w:rsidRPr="00CF773E">
        <w:rPr>
          <w:lang w:val="en-GB"/>
        </w:rPr>
        <w:t xml:space="preserve"> a bounded latency to ensure the </w:t>
      </w:r>
      <w:proofErr w:type="spellStart"/>
      <w:r w:rsidR="00AE5032" w:rsidRPr="00CF773E">
        <w:rPr>
          <w:lang w:val="en-GB"/>
        </w:rPr>
        <w:t>QoE</w:t>
      </w:r>
      <w:proofErr w:type="spellEnd"/>
      <w:r w:rsidR="00AE5032" w:rsidRPr="00CF773E">
        <w:rPr>
          <w:lang w:val="en-GB"/>
        </w:rPr>
        <w:t xml:space="preserve"> of the service</w:t>
      </w:r>
      <w:r w:rsidR="00402AD6" w:rsidRPr="00CF773E">
        <w:rPr>
          <w:lang w:val="en-GB"/>
        </w:rPr>
        <w:t>: a large fraction of the application packets must arrive to the receiver within the latency threshold</w:t>
      </w:r>
      <w:r w:rsidR="00AE5032" w:rsidRPr="00CF773E">
        <w:rPr>
          <w:lang w:val="en-GB"/>
        </w:rPr>
        <w:t xml:space="preserve">. </w:t>
      </w:r>
    </w:p>
    <w:p w14:paraId="5F1246A9" w14:textId="37AA307C" w:rsidR="00402AD6" w:rsidRPr="00CF773E" w:rsidRDefault="00402AD6" w:rsidP="007E08F4">
      <w:pPr>
        <w:pStyle w:val="BodyText"/>
        <w:rPr>
          <w:lang w:val="en-GB"/>
        </w:rPr>
      </w:pPr>
      <w:r w:rsidRPr="00CF773E">
        <w:rPr>
          <w:lang w:val="en-GB"/>
        </w:rPr>
        <w:t>As a UE in RRC_CONNECTED mode moves across the coverage area of a cellular system, the NW changes which TRP is communicating with the UE. The different TRPs may belong to the same or different cells. This procedure is known as mobility.</w:t>
      </w:r>
    </w:p>
    <w:p w14:paraId="563420F9" w14:textId="0E114872" w:rsidR="00402AD6" w:rsidRPr="00CF773E" w:rsidRDefault="00F43372" w:rsidP="007E08F4">
      <w:pPr>
        <w:pStyle w:val="BodyText"/>
        <w:rPr>
          <w:lang w:val="en-GB"/>
        </w:rPr>
      </w:pPr>
      <w:r w:rsidRPr="00CF773E">
        <w:rPr>
          <w:lang w:val="en-GB"/>
        </w:rPr>
        <w:t>If TRPs belong to different cells. a</w:t>
      </w:r>
      <w:r w:rsidR="00402AD6" w:rsidRPr="00CF773E">
        <w:rPr>
          <w:lang w:val="en-GB"/>
        </w:rPr>
        <w:t xml:space="preserve"> change of TRP </w:t>
      </w:r>
      <w:r w:rsidRPr="00CF773E">
        <w:rPr>
          <w:lang w:val="en-GB"/>
        </w:rPr>
        <w:t xml:space="preserve">will </w:t>
      </w:r>
      <w:r w:rsidR="00402AD6" w:rsidRPr="00CF773E">
        <w:rPr>
          <w:lang w:val="en-GB"/>
        </w:rPr>
        <w:t>result in degraded performance: an interrupt in the transmission</w:t>
      </w:r>
      <w:r w:rsidRPr="00CF773E">
        <w:rPr>
          <w:lang w:val="en-GB"/>
        </w:rPr>
        <w:t xml:space="preserve"> (no data can be sent/received during the interrupt)</w:t>
      </w:r>
      <w:r w:rsidR="00402AD6" w:rsidRPr="00CF773E">
        <w:rPr>
          <w:lang w:val="en-GB"/>
        </w:rPr>
        <w:t xml:space="preserve"> and/or a reduction in data rates. In </w:t>
      </w:r>
      <w:proofErr w:type="spellStart"/>
      <w:r w:rsidR="00402AD6" w:rsidRPr="00CF773E">
        <w:rPr>
          <w:lang w:val="en-GB"/>
        </w:rPr>
        <w:t>eMBB</w:t>
      </w:r>
      <w:proofErr w:type="spellEnd"/>
      <w:r w:rsidR="00402AD6" w:rsidRPr="00CF773E">
        <w:rPr>
          <w:lang w:val="en-GB"/>
        </w:rPr>
        <w:t xml:space="preserve"> services, this degradation is typically acceptable. However, as XR services have more stringent requirements on bounded latency and reliability, the </w:t>
      </w:r>
      <w:r w:rsidR="000129EF" w:rsidRPr="00CF773E">
        <w:rPr>
          <w:lang w:val="en-GB"/>
        </w:rPr>
        <w:t>performance should be re-evaluated</w:t>
      </w:r>
      <w:r w:rsidRPr="00CF773E">
        <w:rPr>
          <w:lang w:val="en-GB"/>
        </w:rPr>
        <w:t xml:space="preserve"> to secure that </w:t>
      </w:r>
      <w:proofErr w:type="spellStart"/>
      <w:r w:rsidRPr="00CF773E">
        <w:rPr>
          <w:lang w:val="en-GB"/>
        </w:rPr>
        <w:t>QoE</w:t>
      </w:r>
      <w:proofErr w:type="spellEnd"/>
      <w:r w:rsidRPr="00CF773E">
        <w:rPr>
          <w:lang w:val="en-GB"/>
        </w:rPr>
        <w:t xml:space="preserve"> can be</w:t>
      </w:r>
      <w:r w:rsidR="007B40FF" w:rsidRPr="00CF773E">
        <w:rPr>
          <w:lang w:val="en-GB"/>
        </w:rPr>
        <w:t xml:space="preserve"> maintained</w:t>
      </w:r>
      <w:r w:rsidRPr="00CF773E">
        <w:rPr>
          <w:lang w:val="en-GB"/>
        </w:rPr>
        <w:t xml:space="preserve"> also during mobility</w:t>
      </w:r>
      <w:r w:rsidR="000129EF" w:rsidRPr="00CF773E">
        <w:rPr>
          <w:lang w:val="en-GB"/>
        </w:rPr>
        <w:t>.</w:t>
      </w:r>
    </w:p>
    <w:p w14:paraId="142FF8FF" w14:textId="140E0AA1" w:rsidR="00402AD6" w:rsidRPr="006D150D" w:rsidRDefault="00402AD6" w:rsidP="00402AD6">
      <w:pPr>
        <w:pStyle w:val="Heading2"/>
      </w:pPr>
      <w:r w:rsidRPr="006D150D">
        <w:t>2.1</w:t>
      </w:r>
      <w:r w:rsidRPr="006D150D">
        <w:tab/>
        <w:t>Mobility in Rel-15</w:t>
      </w:r>
    </w:p>
    <w:p w14:paraId="187319E0" w14:textId="77777777" w:rsidR="00025E16" w:rsidRPr="006D150D" w:rsidRDefault="00025E16" w:rsidP="00025E16">
      <w:pPr>
        <w:pStyle w:val="Heading3"/>
      </w:pPr>
      <w:r w:rsidRPr="006D150D">
        <w:t>2.1.1</w:t>
      </w:r>
      <w:r w:rsidRPr="006D150D">
        <w:tab/>
        <w:t>Intra-cell mobility</w:t>
      </w:r>
    </w:p>
    <w:p w14:paraId="4E904CC2" w14:textId="2F793FCA" w:rsidR="00025E16" w:rsidRPr="006D150D" w:rsidRDefault="00025E16" w:rsidP="007E08F4">
      <w:pPr>
        <w:pStyle w:val="BodyText"/>
        <w:rPr>
          <w:lang w:val="en-US"/>
        </w:rPr>
      </w:pPr>
      <w:r w:rsidRPr="006D150D">
        <w:rPr>
          <w:lang w:val="en-US"/>
        </w:rPr>
        <w:t>Rel-15 supports cells with one or more TRPs. In case the UE moves within a cell, the transfer of the connection between TRPs is almost transparent</w:t>
      </w:r>
      <w:r w:rsidR="00675455" w:rsidRPr="006D150D">
        <w:rPr>
          <w:lang w:val="en-US"/>
        </w:rPr>
        <w:t>. The interrupt is guaranteed to be below 5ms, and it is possible to reduce the interrupt to zero.</w:t>
      </w:r>
    </w:p>
    <w:p w14:paraId="599101FF" w14:textId="6A7CD61A" w:rsidR="00CF773E" w:rsidRDefault="00CF773E" w:rsidP="007E08F4">
      <w:pPr>
        <w:pStyle w:val="BodyText"/>
        <w:rPr>
          <w:lang w:val="en-US"/>
        </w:rPr>
      </w:pPr>
      <w:r w:rsidRPr="006D150D">
        <w:rPr>
          <w:lang w:val="en-US"/>
        </w:rPr>
        <w:t xml:space="preserve">However, as the UE moves inside a cell, the large-scale propagation properties change. More UEs will spend time in bad radio conditions for parts of its session. This leads to an increased risk for lost frames for more of the UEs, which may lead to more unsatisfied </w:t>
      </w:r>
      <w:r w:rsidR="006D150D" w:rsidRPr="006D150D">
        <w:rPr>
          <w:lang w:val="en-US"/>
        </w:rPr>
        <w:t>user</w:t>
      </w:r>
      <w:r w:rsidRPr="006D150D">
        <w:rPr>
          <w:lang w:val="en-US"/>
        </w:rPr>
        <w:t>s.</w:t>
      </w:r>
      <w:r w:rsidR="006D150D" w:rsidRPr="006D150D">
        <w:rPr>
          <w:lang w:val="en-US"/>
        </w:rPr>
        <w:t xml:space="preserve"> Note that the total number of lost frames does not change: the lost frames are only distributed more evenly across the users, but since the user satisfaction criterion is so strict, this will lead to a more challenging situation</w:t>
      </w:r>
      <w:r w:rsidR="006D150D">
        <w:rPr>
          <w:lang w:val="en-US"/>
        </w:rPr>
        <w:t>:</w:t>
      </w:r>
    </w:p>
    <w:p w14:paraId="522E872D" w14:textId="05B02500" w:rsidR="006D150D" w:rsidRPr="006D150D" w:rsidRDefault="006D150D" w:rsidP="006D150D">
      <w:pPr>
        <w:pStyle w:val="Observation"/>
        <w:rPr>
          <w:lang w:val="en-US"/>
        </w:rPr>
      </w:pPr>
      <w:bookmarkStart w:id="1" w:name="_Toc68631294"/>
      <w:r>
        <w:rPr>
          <w:lang w:val="en-US"/>
        </w:rPr>
        <w:t>Intra-cell mobility may lead to that more users are unsatisfied, since more UEs will experience challenging radio conditions.</w:t>
      </w:r>
      <w:bookmarkEnd w:id="1"/>
    </w:p>
    <w:p w14:paraId="2E2F38BC" w14:textId="36766A7B" w:rsidR="004D150A" w:rsidRPr="006D150D" w:rsidRDefault="004D150A" w:rsidP="004D150A">
      <w:pPr>
        <w:pStyle w:val="Heading3"/>
      </w:pPr>
      <w:r w:rsidRPr="006D150D">
        <w:lastRenderedPageBreak/>
        <w:t xml:space="preserve">2.1.2 </w:t>
      </w:r>
      <w:r w:rsidRPr="006D150D">
        <w:tab/>
        <w:t>Inter-cell mobility</w:t>
      </w:r>
    </w:p>
    <w:p w14:paraId="79BA7A3B" w14:textId="73A17956" w:rsidR="000129EF" w:rsidRPr="006D150D" w:rsidRDefault="000129EF" w:rsidP="007E08F4">
      <w:pPr>
        <w:pStyle w:val="BodyText"/>
      </w:pPr>
      <w:r w:rsidRPr="006D150D">
        <w:rPr>
          <w:lang w:val="en-US"/>
        </w:rPr>
        <w:t xml:space="preserve">The mobility mechanism in NR Rel-15 is based on L3 </w:t>
      </w:r>
      <w:r w:rsidR="006D150D" w:rsidRPr="006D150D">
        <w:rPr>
          <w:lang w:val="en-US"/>
        </w:rPr>
        <w:t>signaling</w:t>
      </w:r>
      <w:r w:rsidRPr="006D150D">
        <w:rPr>
          <w:lang w:val="en-US"/>
        </w:rPr>
        <w:t xml:space="preserve"> quite </w:t>
      </w:r>
      <w:proofErr w:type="gramStart"/>
      <w:r w:rsidRPr="006D150D">
        <w:rPr>
          <w:lang w:val="en-US"/>
        </w:rPr>
        <w:t>similar to</w:t>
      </w:r>
      <w:proofErr w:type="gramEnd"/>
      <w:r w:rsidRPr="006D150D">
        <w:rPr>
          <w:lang w:val="en-US"/>
        </w:rPr>
        <w:t xml:space="preserve"> LTE.</w:t>
      </w:r>
      <w:r w:rsidR="00025E16" w:rsidRPr="006D150D">
        <w:rPr>
          <w:lang w:val="en-US"/>
        </w:rPr>
        <w:t xml:space="preserve"> </w:t>
      </w:r>
      <w:r w:rsidR="00025E16" w:rsidRPr="006D150D">
        <w:t xml:space="preserve">The </w:t>
      </w:r>
      <w:r w:rsidR="00CD7786" w:rsidRPr="006D150D">
        <w:t xml:space="preserve">handover procedure is illustrated in </w:t>
      </w:r>
      <w:r w:rsidR="00CD7786" w:rsidRPr="006D150D">
        <w:fldChar w:fldCharType="begin"/>
      </w:r>
      <w:r w:rsidR="00CD7786" w:rsidRPr="006D150D">
        <w:instrText xml:space="preserve"> REF _Ref54354924 \h </w:instrText>
      </w:r>
      <w:r w:rsidR="007110DA" w:rsidRPr="006D150D">
        <w:instrText xml:space="preserve"> \* MERGEFORMAT </w:instrText>
      </w:r>
      <w:r w:rsidR="00CD7786" w:rsidRPr="006D150D">
        <w:fldChar w:fldCharType="separate"/>
      </w:r>
      <w:r w:rsidR="00200C26" w:rsidRPr="002E6AA9">
        <w:t xml:space="preserve">Figure </w:t>
      </w:r>
      <w:r w:rsidR="00200C26">
        <w:rPr>
          <w:noProof/>
        </w:rPr>
        <w:t>1</w:t>
      </w:r>
      <w:r w:rsidR="00CD7786" w:rsidRPr="006D150D">
        <w:fldChar w:fldCharType="end"/>
      </w:r>
      <w:r w:rsidR="00CD7786" w:rsidRPr="006D150D">
        <w:t>.</w:t>
      </w:r>
    </w:p>
    <w:p w14:paraId="659A66B1" w14:textId="5B8F256B" w:rsidR="00CD7786" w:rsidRPr="006D150D" w:rsidRDefault="00CD7786" w:rsidP="000129EF">
      <w:pPr>
        <w:rPr>
          <w:lang w:val="en-GB" w:eastAsia="ja-JP"/>
        </w:rPr>
      </w:pPr>
      <w:r w:rsidRPr="006D150D">
        <w:rPr>
          <w:noProof/>
        </w:rPr>
        <w:drawing>
          <wp:inline distT="0" distB="0" distL="0" distR="0" wp14:anchorId="1D9B5117" wp14:editId="55998662">
            <wp:extent cx="6120765" cy="21844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28A0092B-C50C-407E-A947-70E740481C1C}">
                          <a14:useLocalDpi xmlns:a14="http://schemas.microsoft.com/office/drawing/2010/main" val="0"/>
                        </a:ext>
                      </a:extLst>
                    </a:blip>
                    <a:stretch>
                      <a:fillRect/>
                    </a:stretch>
                  </pic:blipFill>
                  <pic:spPr>
                    <a:xfrm>
                      <a:off x="0" y="0"/>
                      <a:ext cx="6120765" cy="2184400"/>
                    </a:xfrm>
                    <a:prstGeom prst="rect">
                      <a:avLst/>
                    </a:prstGeom>
                  </pic:spPr>
                </pic:pic>
              </a:graphicData>
            </a:graphic>
          </wp:inline>
        </w:drawing>
      </w:r>
    </w:p>
    <w:p w14:paraId="5C138EC3" w14:textId="73EEC275" w:rsidR="004D150A" w:rsidRPr="002E6AA9" w:rsidRDefault="00CD7786" w:rsidP="002E6AA9">
      <w:pPr>
        <w:pStyle w:val="TF"/>
        <w:rPr>
          <w:rFonts w:ascii="Arial" w:hAnsi="Arial" w:cs="Arial"/>
          <w:sz w:val="20"/>
          <w:szCs w:val="20"/>
        </w:rPr>
      </w:pPr>
      <w:bookmarkStart w:id="2" w:name="_Ref54354924"/>
      <w:bookmarkStart w:id="3" w:name="_Ref61853032"/>
      <w:r w:rsidRPr="002E6AA9">
        <w:rPr>
          <w:rFonts w:ascii="Arial" w:hAnsi="Arial" w:cs="Arial"/>
          <w:sz w:val="20"/>
          <w:szCs w:val="20"/>
        </w:rPr>
        <w:t xml:space="preserve">Figure </w:t>
      </w:r>
      <w:r w:rsidRPr="002E6AA9">
        <w:rPr>
          <w:rFonts w:ascii="Arial" w:hAnsi="Arial" w:cs="Arial"/>
          <w:sz w:val="20"/>
          <w:szCs w:val="20"/>
        </w:rPr>
        <w:fldChar w:fldCharType="begin"/>
      </w:r>
      <w:r w:rsidRPr="002E6AA9">
        <w:rPr>
          <w:rFonts w:ascii="Arial" w:hAnsi="Arial" w:cs="Arial"/>
          <w:sz w:val="20"/>
          <w:szCs w:val="20"/>
        </w:rPr>
        <w:instrText xml:space="preserve"> SEQ Figure \* ARABIC </w:instrText>
      </w:r>
      <w:r w:rsidRPr="002E6AA9">
        <w:rPr>
          <w:rFonts w:ascii="Arial" w:hAnsi="Arial" w:cs="Arial"/>
          <w:sz w:val="20"/>
          <w:szCs w:val="20"/>
        </w:rPr>
        <w:fldChar w:fldCharType="separate"/>
      </w:r>
      <w:r w:rsidR="00200C26">
        <w:rPr>
          <w:rFonts w:ascii="Arial" w:hAnsi="Arial" w:cs="Arial"/>
          <w:noProof/>
          <w:sz w:val="20"/>
          <w:szCs w:val="20"/>
        </w:rPr>
        <w:t>1</w:t>
      </w:r>
      <w:r w:rsidRPr="002E6AA9">
        <w:rPr>
          <w:rFonts w:ascii="Arial" w:hAnsi="Arial" w:cs="Arial"/>
          <w:sz w:val="20"/>
          <w:szCs w:val="20"/>
        </w:rPr>
        <w:fldChar w:fldCharType="end"/>
      </w:r>
      <w:bookmarkEnd w:id="2"/>
      <w:r w:rsidRPr="002E6AA9">
        <w:rPr>
          <w:rFonts w:ascii="Arial" w:hAnsi="Arial" w:cs="Arial"/>
          <w:sz w:val="20"/>
          <w:szCs w:val="20"/>
        </w:rPr>
        <w:t>: The handover procedure in NR Rel-15. Note that we have not illustrated the measurement procedure: the measurements introduce a delay before the handover instant but does not impact the service interruption.</w:t>
      </w:r>
      <w:bookmarkEnd w:id="3"/>
      <w:r w:rsidRPr="002E6AA9">
        <w:rPr>
          <w:rFonts w:ascii="Arial" w:hAnsi="Arial" w:cs="Arial"/>
          <w:sz w:val="20"/>
          <w:szCs w:val="20"/>
        </w:rPr>
        <w:t xml:space="preserve"> </w:t>
      </w:r>
    </w:p>
    <w:p w14:paraId="2D11D3BE" w14:textId="4D46DABD" w:rsidR="00CD7786" w:rsidRPr="006D150D" w:rsidRDefault="00CD7786" w:rsidP="007E08F4">
      <w:pPr>
        <w:pStyle w:val="BodyText"/>
        <w:rPr>
          <w:lang w:val="en-GB"/>
        </w:rPr>
      </w:pPr>
      <w:r w:rsidRPr="006D150D">
        <w:rPr>
          <w:lang w:val="en-US"/>
        </w:rPr>
        <w:t xml:space="preserve">In </w:t>
      </w:r>
      <w:r w:rsidRPr="006D150D">
        <w:rPr>
          <w:lang w:val="en-GB"/>
        </w:rPr>
        <w:fldChar w:fldCharType="begin"/>
      </w:r>
      <w:r w:rsidRPr="006D150D">
        <w:rPr>
          <w:lang w:val="en-GB"/>
        </w:rPr>
        <w:instrText xml:space="preserve"> REF _Ref54354924 \h </w:instrText>
      </w:r>
      <w:r w:rsidR="007110DA" w:rsidRPr="006D150D">
        <w:rPr>
          <w:lang w:val="en-GB"/>
        </w:rPr>
        <w:instrText xml:space="preserve"> \* MERGEFORMAT </w:instrText>
      </w:r>
      <w:r w:rsidRPr="006D150D">
        <w:rPr>
          <w:lang w:val="en-GB"/>
        </w:rPr>
      </w:r>
      <w:r w:rsidRPr="006D150D">
        <w:rPr>
          <w:lang w:val="en-GB"/>
        </w:rPr>
        <w:fldChar w:fldCharType="separate"/>
      </w:r>
      <w:r w:rsidR="00200C26" w:rsidRPr="00200C26">
        <w:rPr>
          <w:lang w:val="en-US"/>
        </w:rPr>
        <w:t xml:space="preserve">Figure </w:t>
      </w:r>
      <w:r w:rsidR="00200C26" w:rsidRPr="00200C26">
        <w:rPr>
          <w:noProof/>
          <w:lang w:val="en-US"/>
        </w:rPr>
        <w:t>1</w:t>
      </w:r>
      <w:r w:rsidRPr="006D150D">
        <w:rPr>
          <w:lang w:val="en-GB"/>
        </w:rPr>
        <w:fldChar w:fldCharType="end"/>
      </w:r>
      <w:r w:rsidRPr="006D150D">
        <w:rPr>
          <w:lang w:val="en-GB"/>
        </w:rPr>
        <w:t>, the step “synchronization” includes</w:t>
      </w:r>
    </w:p>
    <w:p w14:paraId="43D22EA2" w14:textId="771FEA46" w:rsidR="00CD7786" w:rsidRPr="006D150D" w:rsidRDefault="00CD7786" w:rsidP="007E08F4">
      <w:pPr>
        <w:pStyle w:val="BodyText"/>
        <w:numPr>
          <w:ilvl w:val="0"/>
          <w:numId w:val="27"/>
        </w:numPr>
        <w:rPr>
          <w:lang w:val="en-GB"/>
        </w:rPr>
      </w:pPr>
      <w:r w:rsidRPr="006D150D">
        <w:rPr>
          <w:lang w:val="en-GB"/>
        </w:rPr>
        <w:t>UE processing time for RF/baseband retuning</w:t>
      </w:r>
    </w:p>
    <w:p w14:paraId="6F2C8D59" w14:textId="16186693" w:rsidR="00CD7786" w:rsidRPr="006D150D" w:rsidRDefault="00CD7786" w:rsidP="007E08F4">
      <w:pPr>
        <w:pStyle w:val="BodyText"/>
        <w:numPr>
          <w:ilvl w:val="0"/>
          <w:numId w:val="27"/>
        </w:numPr>
        <w:rPr>
          <w:lang w:val="en-GB"/>
        </w:rPr>
      </w:pPr>
      <w:r w:rsidRPr="006D150D">
        <w:rPr>
          <w:lang w:val="en-GB"/>
        </w:rPr>
        <w:t>Delay until the first PRACH occasion</w:t>
      </w:r>
    </w:p>
    <w:p w14:paraId="4123C881" w14:textId="7CB0BC9A" w:rsidR="00CD7786" w:rsidRPr="006D150D" w:rsidRDefault="00CD7786" w:rsidP="007E08F4">
      <w:pPr>
        <w:pStyle w:val="BodyText"/>
        <w:numPr>
          <w:ilvl w:val="0"/>
          <w:numId w:val="27"/>
        </w:numPr>
        <w:rPr>
          <w:lang w:val="en-GB"/>
        </w:rPr>
      </w:pPr>
      <w:r w:rsidRPr="006D150D">
        <w:rPr>
          <w:lang w:val="en-GB"/>
        </w:rPr>
        <w:t>Fine time tracking</w:t>
      </w:r>
    </w:p>
    <w:p w14:paraId="4898C0FF" w14:textId="73FDC49C" w:rsidR="00CD7786" w:rsidRPr="006D150D" w:rsidRDefault="00CD7786" w:rsidP="007E08F4">
      <w:pPr>
        <w:pStyle w:val="BodyText"/>
        <w:rPr>
          <w:lang w:val="en-GB"/>
        </w:rPr>
      </w:pPr>
      <w:r w:rsidRPr="006D150D">
        <w:rPr>
          <w:lang w:val="en-GB"/>
        </w:rPr>
        <w:t>These factors dominate the interruption delay: the total service interruption is at best in the order 0f 40ms.</w:t>
      </w:r>
    </w:p>
    <w:p w14:paraId="696C86B6" w14:textId="3B42C75E" w:rsidR="00D97C21" w:rsidRPr="006D150D" w:rsidRDefault="00D97C21" w:rsidP="007E08F4">
      <w:pPr>
        <w:pStyle w:val="Observation"/>
        <w:rPr>
          <w:lang w:val="en-US"/>
        </w:rPr>
      </w:pPr>
      <w:bookmarkStart w:id="4" w:name="_Toc68631295"/>
      <w:r w:rsidRPr="006D150D">
        <w:rPr>
          <w:lang w:val="en-US"/>
        </w:rPr>
        <w:t>The service interruption is dominated by UE processing related to synchronization and is at best around 40ms.</w:t>
      </w:r>
      <w:bookmarkEnd w:id="4"/>
    </w:p>
    <w:p w14:paraId="23F1DBAC" w14:textId="6AE500A8" w:rsidR="00842F85" w:rsidRPr="006D150D" w:rsidRDefault="00842F85" w:rsidP="007E08F4">
      <w:pPr>
        <w:pStyle w:val="BodyText"/>
        <w:rPr>
          <w:lang w:val="en-US"/>
        </w:rPr>
      </w:pPr>
      <w:r w:rsidRPr="006D150D">
        <w:rPr>
          <w:lang w:val="en-US"/>
        </w:rPr>
        <w:t xml:space="preserve">For a service with 60fps, a 40ms interrupt means that </w:t>
      </w:r>
      <w:r w:rsidR="006D150D">
        <w:rPr>
          <w:lang w:val="en-US"/>
        </w:rPr>
        <w:t>two</w:t>
      </w:r>
      <w:r w:rsidRPr="006D150D">
        <w:rPr>
          <w:lang w:val="en-US"/>
        </w:rPr>
        <w:t xml:space="preserve"> application packets are lost.</w:t>
      </w:r>
    </w:p>
    <w:p w14:paraId="44C5FBF8" w14:textId="0B799388" w:rsidR="00402AD6" w:rsidRPr="006D150D" w:rsidRDefault="00402AD6" w:rsidP="00402AD6">
      <w:pPr>
        <w:pStyle w:val="Heading2"/>
      </w:pPr>
      <w:r w:rsidRPr="006D150D">
        <w:t>2.2</w:t>
      </w:r>
      <w:r w:rsidRPr="006D150D">
        <w:tab/>
        <w:t xml:space="preserve">Mobility </w:t>
      </w:r>
      <w:r w:rsidR="000129EF" w:rsidRPr="006D150D">
        <w:t xml:space="preserve">improvement </w:t>
      </w:r>
      <w:r w:rsidRPr="006D150D">
        <w:t>in Rel-16: DAPS</w:t>
      </w:r>
      <w:r w:rsidR="004D150A" w:rsidRPr="006D150D">
        <w:t xml:space="preserve"> and 2-step RACH</w:t>
      </w:r>
    </w:p>
    <w:p w14:paraId="521D80D4" w14:textId="370054F6" w:rsidR="000941B5" w:rsidRPr="006D150D" w:rsidRDefault="000941B5" w:rsidP="007E08F4">
      <w:pPr>
        <w:pStyle w:val="BodyText"/>
        <w:rPr>
          <w:lang w:val="en-US"/>
        </w:rPr>
      </w:pPr>
      <w:r w:rsidRPr="006D150D">
        <w:rPr>
          <w:lang w:val="en-US"/>
        </w:rPr>
        <w:t xml:space="preserve">In Rel-16, two improvements relevant for </w:t>
      </w:r>
      <w:r w:rsidR="00D97C21" w:rsidRPr="006D150D">
        <w:rPr>
          <w:lang w:val="en-US"/>
        </w:rPr>
        <w:t>mobility were specified:</w:t>
      </w:r>
    </w:p>
    <w:p w14:paraId="22C82255" w14:textId="310A0E89" w:rsidR="00D97C21" w:rsidRPr="006D150D" w:rsidRDefault="00D97C21" w:rsidP="007E08F4">
      <w:pPr>
        <w:pStyle w:val="BodyText"/>
        <w:numPr>
          <w:ilvl w:val="0"/>
          <w:numId w:val="25"/>
        </w:numPr>
      </w:pPr>
      <w:r w:rsidRPr="006D150D">
        <w:t>Two-step RACH</w:t>
      </w:r>
    </w:p>
    <w:p w14:paraId="69DC77E8" w14:textId="72CED17E" w:rsidR="00D97C21" w:rsidRPr="006D150D" w:rsidRDefault="00D97C21" w:rsidP="007E08F4">
      <w:pPr>
        <w:pStyle w:val="BodyText"/>
        <w:numPr>
          <w:ilvl w:val="0"/>
          <w:numId w:val="25"/>
        </w:numPr>
        <w:rPr>
          <w:lang w:val="en-US"/>
        </w:rPr>
      </w:pPr>
      <w:r w:rsidRPr="006D150D">
        <w:rPr>
          <w:lang w:val="en-US"/>
        </w:rPr>
        <w:t>Dual Active Protocol Stack (DAPS)</w:t>
      </w:r>
    </w:p>
    <w:p w14:paraId="3FBDE489" w14:textId="77777777" w:rsidR="00D97C21" w:rsidRPr="006D150D" w:rsidRDefault="00D97C21" w:rsidP="007E08F4">
      <w:pPr>
        <w:pStyle w:val="BodyText"/>
        <w:rPr>
          <w:lang w:val="en-US"/>
        </w:rPr>
      </w:pPr>
      <w:r w:rsidRPr="006D150D">
        <w:rPr>
          <w:lang w:val="en-US"/>
        </w:rPr>
        <w:t xml:space="preserve">With 2-step RACH, the number of messages during the RACH procedure is reduced. Msg1 and Msg3 are combined into one message (called </w:t>
      </w:r>
      <w:proofErr w:type="spellStart"/>
      <w:r w:rsidRPr="006D150D">
        <w:rPr>
          <w:lang w:val="en-US"/>
        </w:rPr>
        <w:t>MsgA</w:t>
      </w:r>
      <w:proofErr w:type="spellEnd"/>
      <w:r w:rsidRPr="006D150D">
        <w:rPr>
          <w:lang w:val="en-US"/>
        </w:rPr>
        <w:t xml:space="preserve">), and Msg2 and Msg4 are combined into one message (called </w:t>
      </w:r>
      <w:proofErr w:type="spellStart"/>
      <w:r w:rsidRPr="006D150D">
        <w:rPr>
          <w:lang w:val="en-US"/>
        </w:rPr>
        <w:t>MsgB</w:t>
      </w:r>
      <w:proofErr w:type="spellEnd"/>
      <w:r w:rsidRPr="006D150D">
        <w:rPr>
          <w:lang w:val="en-US"/>
        </w:rPr>
        <w:t>). With this construction, one round-trip time is avoided.</w:t>
      </w:r>
    </w:p>
    <w:p w14:paraId="74786398" w14:textId="3871773A" w:rsidR="00D97C21" w:rsidRPr="006D150D" w:rsidRDefault="00D97C21" w:rsidP="007E08F4">
      <w:pPr>
        <w:pStyle w:val="BodyText"/>
        <w:rPr>
          <w:lang w:val="en-US"/>
        </w:rPr>
      </w:pPr>
      <w:r w:rsidRPr="006D150D">
        <w:rPr>
          <w:lang w:val="en-US"/>
        </w:rPr>
        <w:t>Referring to section 2.1</w:t>
      </w:r>
      <w:r w:rsidR="00F9148C" w:rsidRPr="006D150D">
        <w:rPr>
          <w:lang w:val="en-US"/>
        </w:rPr>
        <w:t>.2</w:t>
      </w:r>
      <w:r w:rsidRPr="006D150D">
        <w:rPr>
          <w:lang w:val="en-US"/>
        </w:rPr>
        <w:t xml:space="preserve"> and </w:t>
      </w:r>
      <w:r w:rsidRPr="006D150D">
        <w:fldChar w:fldCharType="begin"/>
      </w:r>
      <w:r w:rsidRPr="006D150D">
        <w:rPr>
          <w:lang w:val="en-US"/>
        </w:rPr>
        <w:instrText xml:space="preserve"> REF _Ref61853032 \h </w:instrText>
      </w:r>
      <w:r w:rsidR="007110DA" w:rsidRPr="006D150D">
        <w:rPr>
          <w:lang w:val="en-US"/>
        </w:rPr>
        <w:instrText xml:space="preserve"> \* MERGEFORMAT </w:instrText>
      </w:r>
      <w:r w:rsidRPr="006D150D">
        <w:fldChar w:fldCharType="separate"/>
      </w:r>
      <w:r w:rsidR="00200C26" w:rsidRPr="00200C26">
        <w:rPr>
          <w:lang w:val="en-US"/>
        </w:rPr>
        <w:t xml:space="preserve">Figure </w:t>
      </w:r>
      <w:r w:rsidR="00200C26" w:rsidRPr="00200C26">
        <w:rPr>
          <w:noProof/>
          <w:lang w:val="en-US"/>
        </w:rPr>
        <w:t>1</w:t>
      </w:r>
      <w:r w:rsidR="00200C26" w:rsidRPr="00200C26">
        <w:rPr>
          <w:lang w:val="en-US"/>
        </w:rPr>
        <w:t xml:space="preserve">: The handover procedure in NR Rel-15. Note that we have not illustrated the measurement procedure: the measurements introduce a delay before the handover instant but does not impact the service </w:t>
      </w:r>
      <w:proofErr w:type="spellStart"/>
      <w:r w:rsidR="00200C26" w:rsidRPr="00200C26">
        <w:rPr>
          <w:lang w:val="en-US"/>
        </w:rPr>
        <w:t>interruption.</w:t>
      </w:r>
      <w:r w:rsidRPr="006D150D">
        <w:fldChar w:fldCharType="end"/>
      </w:r>
      <w:r w:rsidRPr="006D150D">
        <w:fldChar w:fldCharType="begin"/>
      </w:r>
      <w:r w:rsidRPr="006D150D">
        <w:rPr>
          <w:lang w:val="en-US"/>
        </w:rPr>
        <w:instrText xml:space="preserve"> REF _Ref54354924 \h </w:instrText>
      </w:r>
      <w:r w:rsidR="007110DA" w:rsidRPr="006D150D">
        <w:rPr>
          <w:lang w:val="en-US"/>
        </w:rPr>
        <w:instrText xml:space="preserve"> \* MERGEFORMAT </w:instrText>
      </w:r>
      <w:r w:rsidRPr="006D150D">
        <w:fldChar w:fldCharType="separate"/>
      </w:r>
      <w:r w:rsidR="00200C26" w:rsidRPr="00200C26">
        <w:rPr>
          <w:lang w:val="en-US"/>
        </w:rPr>
        <w:t>Figure</w:t>
      </w:r>
      <w:proofErr w:type="spellEnd"/>
      <w:r w:rsidR="00200C26" w:rsidRPr="00200C26">
        <w:rPr>
          <w:lang w:val="en-US"/>
        </w:rPr>
        <w:t xml:space="preserve"> </w:t>
      </w:r>
      <w:r w:rsidR="00200C26" w:rsidRPr="00200C26">
        <w:rPr>
          <w:noProof/>
          <w:lang w:val="en-US"/>
        </w:rPr>
        <w:t>1</w:t>
      </w:r>
      <w:r w:rsidRPr="006D150D">
        <w:fldChar w:fldCharType="end"/>
      </w:r>
      <w:r w:rsidRPr="006D150D">
        <w:rPr>
          <w:lang w:val="en-US"/>
        </w:rPr>
        <w:t>, we realize that the dominating delays related to synchronization still remain, also with 2-step RACH:</w:t>
      </w:r>
    </w:p>
    <w:p w14:paraId="20AC983E" w14:textId="26F437BA" w:rsidR="00D97C21" w:rsidRPr="006D150D" w:rsidRDefault="00D97C21" w:rsidP="007E08F4">
      <w:pPr>
        <w:pStyle w:val="Observation"/>
        <w:rPr>
          <w:lang w:val="en-US"/>
        </w:rPr>
      </w:pPr>
      <w:bookmarkStart w:id="5" w:name="_Toc68631296"/>
      <w:r w:rsidRPr="006D150D">
        <w:rPr>
          <w:lang w:val="en-US"/>
        </w:rPr>
        <w:t>2-step RACH does not impact the factors dominating the service interruption.</w:t>
      </w:r>
      <w:bookmarkEnd w:id="5"/>
      <w:r w:rsidRPr="006D150D">
        <w:rPr>
          <w:lang w:val="en-US"/>
        </w:rPr>
        <w:t xml:space="preserve"> </w:t>
      </w:r>
    </w:p>
    <w:p w14:paraId="1406AF68" w14:textId="4D27372D" w:rsidR="00D97C21" w:rsidRPr="006D150D" w:rsidRDefault="00D97C21" w:rsidP="007E08F4">
      <w:pPr>
        <w:pStyle w:val="BodyText"/>
        <w:rPr>
          <w:lang w:val="en-US"/>
        </w:rPr>
      </w:pPr>
      <w:r w:rsidRPr="006D150D">
        <w:rPr>
          <w:lang w:val="en-US"/>
        </w:rPr>
        <w:t>With 2-step RACH, the service interruption is around 35ms at best. With a 60FPS service, two application packets would be lost.</w:t>
      </w:r>
    </w:p>
    <w:p w14:paraId="47244D17" w14:textId="78608F18" w:rsidR="00D97C21" w:rsidRPr="006D150D" w:rsidRDefault="00D97C21" w:rsidP="007E08F4">
      <w:pPr>
        <w:pStyle w:val="BodyText"/>
        <w:rPr>
          <w:lang w:val="en-US"/>
        </w:rPr>
      </w:pPr>
      <w:r w:rsidRPr="006D150D">
        <w:rPr>
          <w:lang w:val="en-US"/>
        </w:rPr>
        <w:t>DAPS was designed to reduce the service interrupt to zero. With DAPS, the UE continues to communication with the source while establishing the communicating with the target. The UE releases the connection to the source when it is explicitly instructed to do that. In scenarios where DAPS is applicable, the service interruption will be zero.</w:t>
      </w:r>
    </w:p>
    <w:p w14:paraId="2B5E7F1C" w14:textId="6FA43E50" w:rsidR="00D97C21" w:rsidRPr="006D150D" w:rsidRDefault="00D97C21" w:rsidP="007E08F4">
      <w:pPr>
        <w:pStyle w:val="BodyText"/>
        <w:rPr>
          <w:lang w:val="en-US"/>
        </w:rPr>
      </w:pPr>
      <w:r w:rsidRPr="006D150D">
        <w:rPr>
          <w:lang w:val="en-US"/>
        </w:rPr>
        <w:t>However, there are significant restrictions for DAPS:</w:t>
      </w:r>
    </w:p>
    <w:p w14:paraId="0AF76632" w14:textId="6D6B0B9D" w:rsidR="00D97C21" w:rsidRPr="006D150D" w:rsidRDefault="00D97C21" w:rsidP="007E08F4">
      <w:pPr>
        <w:pStyle w:val="BodyText"/>
        <w:numPr>
          <w:ilvl w:val="0"/>
          <w:numId w:val="25"/>
        </w:numPr>
        <w:rPr>
          <w:lang w:val="en-US"/>
        </w:rPr>
      </w:pPr>
      <w:r w:rsidRPr="006D150D">
        <w:rPr>
          <w:lang w:val="en-US"/>
        </w:rPr>
        <w:lastRenderedPageBreak/>
        <w:t>DAPS cannot be used in FR2. This is due to inherent problems for a UE with directional antenna panels to receive more than one signal at a certain time instant.</w:t>
      </w:r>
    </w:p>
    <w:p w14:paraId="3EA98198" w14:textId="75FC360A" w:rsidR="00D97C21" w:rsidRPr="006D150D" w:rsidRDefault="00D97C21" w:rsidP="007E08F4">
      <w:pPr>
        <w:pStyle w:val="BodyText"/>
        <w:numPr>
          <w:ilvl w:val="0"/>
          <w:numId w:val="25"/>
        </w:numPr>
        <w:rPr>
          <w:lang w:val="en-US"/>
        </w:rPr>
      </w:pPr>
      <w:r w:rsidRPr="006D150D">
        <w:rPr>
          <w:lang w:val="en-US"/>
        </w:rPr>
        <w:t xml:space="preserve">DAPS cannot be used with carrier aggregation or dual connectivity. The NW must make sure to release all </w:t>
      </w:r>
      <w:proofErr w:type="spellStart"/>
      <w:r w:rsidRPr="006D150D">
        <w:rPr>
          <w:lang w:val="en-US"/>
        </w:rPr>
        <w:t>SCells</w:t>
      </w:r>
      <w:proofErr w:type="spellEnd"/>
      <w:r w:rsidRPr="006D150D">
        <w:rPr>
          <w:lang w:val="en-US"/>
        </w:rPr>
        <w:t xml:space="preserve"> and any SCG before configuring the UE with a DAPS bearer.</w:t>
      </w:r>
    </w:p>
    <w:p w14:paraId="616979AC" w14:textId="6DD82054" w:rsidR="00D97C21" w:rsidRPr="006D150D" w:rsidRDefault="00D97C21" w:rsidP="007E08F4">
      <w:pPr>
        <w:pStyle w:val="BodyText"/>
        <w:numPr>
          <w:ilvl w:val="0"/>
          <w:numId w:val="25"/>
        </w:numPr>
        <w:rPr>
          <w:lang w:val="en-US"/>
        </w:rPr>
      </w:pPr>
      <w:r w:rsidRPr="006D150D">
        <w:rPr>
          <w:lang w:val="en-US"/>
        </w:rPr>
        <w:t xml:space="preserve">Even in a FR1/single-CC scenario, the UE complexity will be high, </w:t>
      </w:r>
      <w:proofErr w:type="gramStart"/>
      <w:r w:rsidRPr="006D150D">
        <w:rPr>
          <w:lang w:val="en-US"/>
        </w:rPr>
        <w:t>in particular for</w:t>
      </w:r>
      <w:proofErr w:type="gramEnd"/>
      <w:r w:rsidRPr="006D150D">
        <w:rPr>
          <w:lang w:val="en-US"/>
        </w:rPr>
        <w:t xml:space="preserve"> asynchronous reception, i.e., when the signals from the source and target do not arrive within the CP. </w:t>
      </w:r>
      <w:r w:rsidR="00D54829" w:rsidRPr="006D150D">
        <w:rPr>
          <w:lang w:val="en-US"/>
        </w:rPr>
        <w:t xml:space="preserve">In this case, parts of the UE RX/TX chains may need to be duplicated. </w:t>
      </w:r>
      <w:r w:rsidRPr="006D150D">
        <w:rPr>
          <w:lang w:val="en-US"/>
        </w:rPr>
        <w:t>In practice, most scenarios will lead to asynchronous reception, due to differences in propagation delay.</w:t>
      </w:r>
    </w:p>
    <w:p w14:paraId="67B2190A" w14:textId="69C4B655" w:rsidR="00D97C21" w:rsidRPr="006D150D" w:rsidRDefault="00D97C21" w:rsidP="007E08F4">
      <w:pPr>
        <w:pStyle w:val="Observation"/>
        <w:rPr>
          <w:lang w:val="en-US"/>
        </w:rPr>
      </w:pPr>
      <w:bookmarkStart w:id="6" w:name="_Toc68631297"/>
      <w:r w:rsidRPr="006D150D">
        <w:rPr>
          <w:lang w:val="en-US"/>
        </w:rPr>
        <w:t xml:space="preserve">DAPS </w:t>
      </w:r>
      <w:proofErr w:type="gramStart"/>
      <w:r w:rsidRPr="006D150D">
        <w:rPr>
          <w:lang w:val="en-US"/>
        </w:rPr>
        <w:t>reduces</w:t>
      </w:r>
      <w:proofErr w:type="gramEnd"/>
      <w:r w:rsidRPr="006D150D">
        <w:rPr>
          <w:lang w:val="en-US"/>
        </w:rPr>
        <w:t xml:space="preserve"> the service interruption to zero, but is not applicable to FR2, CA or DC.</w:t>
      </w:r>
      <w:bookmarkEnd w:id="6"/>
      <w:r w:rsidRPr="006D150D">
        <w:rPr>
          <w:lang w:val="en-US"/>
        </w:rPr>
        <w:t xml:space="preserve"> </w:t>
      </w:r>
    </w:p>
    <w:p w14:paraId="0175EAE3" w14:textId="5A327166" w:rsidR="00402AD6" w:rsidRPr="006D150D" w:rsidRDefault="00402AD6" w:rsidP="00402AD6">
      <w:pPr>
        <w:pStyle w:val="Heading2"/>
      </w:pPr>
      <w:r w:rsidRPr="006D150D">
        <w:t>2.3</w:t>
      </w:r>
      <w:r w:rsidRPr="006D150D">
        <w:tab/>
        <w:t xml:space="preserve">Mobility in Rel-17: L1/L2-centric inter-cell mobility </w:t>
      </w:r>
    </w:p>
    <w:p w14:paraId="43319FE5" w14:textId="59640953" w:rsidR="00F9148C" w:rsidRPr="006D150D" w:rsidRDefault="00F9148C" w:rsidP="007E08F4">
      <w:pPr>
        <w:pStyle w:val="BodyText"/>
        <w:rPr>
          <w:lang w:val="en-US"/>
        </w:rPr>
      </w:pPr>
      <w:r w:rsidRPr="006D150D">
        <w:rPr>
          <w:lang w:val="en-US"/>
        </w:rPr>
        <w:t xml:space="preserve">As mentioned in section 2.1.1, Rel-15 supports cells with multiple TRPs. Mobility within such a multi-TRP cell is handled with L1/L2 </w:t>
      </w:r>
      <w:proofErr w:type="gramStart"/>
      <w:r w:rsidRPr="006D150D">
        <w:rPr>
          <w:lang w:val="en-US"/>
        </w:rPr>
        <w:t>signaling:</w:t>
      </w:r>
      <w:proofErr w:type="gramEnd"/>
      <w:r w:rsidRPr="006D150D">
        <w:rPr>
          <w:lang w:val="en-US"/>
        </w:rPr>
        <w:t xml:space="preserve"> measurement on CSI-RS, and signaling related to the QCL assumptions the UE could make when receiving PDCCH and PDSCH. </w:t>
      </w:r>
      <w:r w:rsidR="0074129C" w:rsidRPr="006D150D">
        <w:rPr>
          <w:lang w:val="en-US"/>
        </w:rPr>
        <w:t>This reduces the service interruption to essentially zero.</w:t>
      </w:r>
    </w:p>
    <w:p w14:paraId="7F730738" w14:textId="77777777" w:rsidR="0074129C" w:rsidRPr="006D150D" w:rsidRDefault="0074129C" w:rsidP="007E08F4">
      <w:pPr>
        <w:pStyle w:val="BodyText"/>
        <w:rPr>
          <w:lang w:val="en-US"/>
        </w:rPr>
      </w:pPr>
      <w:r w:rsidRPr="006D150D">
        <w:rPr>
          <w:lang w:val="en-US"/>
        </w:rPr>
        <w:t>However, in Rel-15, all the TRPs must broadcast the same physical cell identity (PCI). This will reduce the area over which such a cell can be realized: since the UE derives the timing from the reception of the summed SSB transmissions from all the TRPs. A large multi-TRP cell will also impact the Idle mode behavior.</w:t>
      </w:r>
    </w:p>
    <w:p w14:paraId="6DC697E8" w14:textId="7F9EF949" w:rsidR="0074129C" w:rsidRPr="002E6AA9" w:rsidRDefault="007E08F4" w:rsidP="002E6AA9">
      <w:pPr>
        <w:pStyle w:val="BodyText"/>
        <w:rPr>
          <w:lang w:val="en-US"/>
        </w:rPr>
      </w:pPr>
      <w:r w:rsidRPr="006D150D">
        <w:rPr>
          <w:lang w:val="en-US"/>
        </w:rPr>
        <w:t xml:space="preserve">To remove these limitations, the following objective was agreed in the </w:t>
      </w:r>
      <w:proofErr w:type="spellStart"/>
      <w:r w:rsidRPr="006D150D">
        <w:rPr>
          <w:lang w:val="en-US"/>
        </w:rPr>
        <w:t>FeMIMO</w:t>
      </w:r>
      <w:proofErr w:type="spellEnd"/>
      <w:r w:rsidRPr="006D150D">
        <w:rPr>
          <w:lang w:val="en-US"/>
        </w:rPr>
        <w:t xml:space="preserve"> WI </w:t>
      </w:r>
      <w:r w:rsidRPr="006D150D">
        <w:fldChar w:fldCharType="begin"/>
      </w:r>
      <w:r w:rsidRPr="006D150D">
        <w:rPr>
          <w:lang w:val="en-US"/>
        </w:rPr>
        <w:instrText xml:space="preserve"> REF _Ref31185007 \r \h </w:instrText>
      </w:r>
      <w:r w:rsidR="007110DA" w:rsidRPr="006D150D">
        <w:rPr>
          <w:lang w:val="en-US"/>
        </w:rPr>
        <w:instrText xml:space="preserve"> \* MERGEFORMAT </w:instrText>
      </w:r>
      <w:r w:rsidRPr="006D150D">
        <w:fldChar w:fldCharType="separate"/>
      </w:r>
      <w:r w:rsidR="00200C26">
        <w:rPr>
          <w:lang w:val="en-US"/>
        </w:rPr>
        <w:t>[2]</w:t>
      </w:r>
      <w:r w:rsidRPr="006D150D">
        <w:fldChar w:fldCharType="end"/>
      </w:r>
      <w:r w:rsidRPr="006D150D">
        <w:rPr>
          <w:lang w:val="en-US"/>
        </w:rPr>
        <w:t xml:space="preserve"> in Rel-17:</w:t>
      </w:r>
      <w:r w:rsidR="0074129C" w:rsidRPr="006D150D">
        <w:rPr>
          <w:lang w:val="en-US"/>
        </w:rPr>
        <w:t xml:space="preserve"> </w:t>
      </w:r>
      <w:r w:rsidRPr="006D150D">
        <w:rPr>
          <w:noProof/>
        </w:rPr>
        <mc:AlternateContent>
          <mc:Choice Requires="wps">
            <w:drawing>
              <wp:inline distT="0" distB="0" distL="0" distR="0" wp14:anchorId="142C7971" wp14:editId="093B9C8D">
                <wp:extent cx="6120765" cy="356870"/>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356870"/>
                        </a:xfrm>
                        <a:prstGeom prst="rect">
                          <a:avLst/>
                        </a:prstGeom>
                        <a:solidFill>
                          <a:schemeClr val="lt1"/>
                        </a:solidFill>
                        <a:ln w="6350">
                          <a:solidFill>
                            <a:prstClr val="black"/>
                          </a:solidFill>
                        </a:ln>
                      </wps:spPr>
                      <wps:txbx>
                        <w:txbxContent>
                          <w:p w14:paraId="16CEFBBF" w14:textId="77777777" w:rsidR="00D54829" w:rsidRPr="005022F4" w:rsidRDefault="00D54829" w:rsidP="007E08F4">
                            <w:pPr>
                              <w:pStyle w:val="ListParagraph"/>
                              <w:numPr>
                                <w:ilvl w:val="0"/>
                                <w:numId w:val="28"/>
                              </w:numPr>
                              <w:ind w:left="720"/>
                              <w:jc w:val="both"/>
                              <w:rPr>
                                <w:rFonts w:ascii="Times New Roman" w:hAnsi="Times New Roman"/>
                              </w:rPr>
                            </w:pPr>
                            <w:r w:rsidRPr="005022F4">
                              <w:rPr>
                                <w:rFonts w:ascii="Times New Roman" w:hAnsi="Times New Roman"/>
                              </w:rPr>
                              <w:t xml:space="preserve">Enhancement on multi-beam operation, mainly targeting FR2 while also applicable to FR1: </w:t>
                            </w:r>
                          </w:p>
                          <w:p w14:paraId="1D9C9D24" w14:textId="77777777" w:rsidR="00D54829" w:rsidRPr="005022F4" w:rsidRDefault="00D54829" w:rsidP="007E08F4">
                            <w:pPr>
                              <w:pStyle w:val="ListParagraph"/>
                              <w:numPr>
                                <w:ilvl w:val="1"/>
                                <w:numId w:val="28"/>
                              </w:numPr>
                              <w:ind w:left="1440"/>
                              <w:jc w:val="both"/>
                              <w:rPr>
                                <w:rFonts w:ascii="Times New Roman" w:hAnsi="Times New Roman"/>
                              </w:rPr>
                            </w:pPr>
                            <w:r w:rsidRPr="005022F4">
                              <w:rPr>
                                <w:rFonts w:ascii="Times New Roman" w:hAnsi="Times New Roman"/>
                              </w:rPr>
                              <w:t xml:space="preserve">Identify and specify features to facilitate more efficient (lower latency and overhead) DL/UL beam management to support higher intra- and </w:t>
                            </w:r>
                            <w:r w:rsidRPr="00200C26">
                              <w:rPr>
                                <w:rFonts w:ascii="Times New Roman" w:hAnsi="Times New Roman"/>
                              </w:rPr>
                              <w:t>L1/L2-centric inter-cell mobility</w:t>
                            </w:r>
                            <w:r w:rsidRPr="005022F4">
                              <w:rPr>
                                <w:rFonts w:ascii="Times New Roman" w:hAnsi="Times New Roman"/>
                              </w:rPr>
                              <w:t xml:space="preserve"> and/or a larger number of configured TCI states: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2C7971" id="_x0000_t202" coordsize="21600,21600" o:spt="202" path="m,l,21600r21600,l21600,xe">
                <v:stroke joinstyle="miter"/>
                <v:path gradientshapeok="t" o:connecttype="rect"/>
              </v:shapetype>
              <v:shape id="Text Box 8" o:spid="_x0000_s1026" type="#_x0000_t202" style="width:481.95pt;height:2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" fillcolor="white [3201]" strokeweight=".5pt">
                <v:textbox style="mso-fit-shape-to-text:t">
                  <w:txbxContent>
                    <w:p w14:paraId="16CEFBBF" w14:textId="77777777" w:rsidR="00D54829" w:rsidRPr="005022F4" w:rsidRDefault="00D54829" w:rsidP="007E08F4">
                      <w:pPr>
                        <w:pStyle w:val="ListParagraph"/>
                        <w:numPr>
                          <w:ilvl w:val="0"/>
                          <w:numId w:val="28"/>
                        </w:numPr>
                        <w:ind w:left="720"/>
                        <w:jc w:val="both"/>
                        <w:rPr>
                          <w:rFonts w:ascii="Times New Roman" w:hAnsi="Times New Roman"/>
                        </w:rPr>
                      </w:pPr>
                      <w:r w:rsidRPr="005022F4">
                        <w:rPr>
                          <w:rFonts w:ascii="Times New Roman" w:hAnsi="Times New Roman"/>
                        </w:rPr>
                        <w:t xml:space="preserve">Enhancement on multi-beam operation, mainly targeting FR2 while also applicable to FR1: </w:t>
                      </w:r>
                    </w:p>
                    <w:p w14:paraId="1D9C9D24" w14:textId="77777777" w:rsidR="00D54829" w:rsidRPr="005022F4" w:rsidRDefault="00D54829" w:rsidP="007E08F4">
                      <w:pPr>
                        <w:pStyle w:val="ListParagraph"/>
                        <w:numPr>
                          <w:ilvl w:val="1"/>
                          <w:numId w:val="28"/>
                        </w:numPr>
                        <w:ind w:left="1440"/>
                        <w:jc w:val="both"/>
                        <w:rPr>
                          <w:rFonts w:ascii="Times New Roman" w:hAnsi="Times New Roman"/>
                        </w:rPr>
                      </w:pPr>
                      <w:r w:rsidRPr="005022F4">
                        <w:rPr>
                          <w:rFonts w:ascii="Times New Roman" w:hAnsi="Times New Roman"/>
                        </w:rPr>
                        <w:t xml:space="preserve">Identify and specify features to facilitate more efficient (lower latency and overhead) DL/UL beam management to support higher intra- and </w:t>
                      </w:r>
                      <w:r w:rsidRPr="00200C26">
                        <w:rPr>
                          <w:rFonts w:ascii="Times New Roman" w:hAnsi="Times New Roman"/>
                        </w:rPr>
                        <w:t>L1/L2-centric inter-cell mobility</w:t>
                      </w:r>
                      <w:r w:rsidRPr="005022F4">
                        <w:rPr>
                          <w:rFonts w:ascii="Times New Roman" w:hAnsi="Times New Roman"/>
                        </w:rPr>
                        <w:t xml:space="preserve"> and/or a larger number of configured TCI states:</w:t>
                      </w:r>
                    </w:p>
                  </w:txbxContent>
                </v:textbox>
                <w10:anchorlock/>
              </v:shape>
            </w:pict>
          </mc:Fallback>
        </mc:AlternateContent>
      </w:r>
    </w:p>
    <w:p w14:paraId="7D2D00D2" w14:textId="16CF4B1E" w:rsidR="00F43C5F" w:rsidRPr="006D150D" w:rsidRDefault="007E08F4" w:rsidP="007E08F4">
      <w:pPr>
        <w:pStyle w:val="BodyText"/>
        <w:rPr>
          <w:lang w:val="en-GB"/>
        </w:rPr>
      </w:pPr>
      <w:r w:rsidRPr="006D150D">
        <w:rPr>
          <w:lang w:val="en-GB"/>
        </w:rPr>
        <w:t>With L1/L2-centric mobility, the beam management procedures can be applied to TRPs broadcasting different PCIs. UE moving between such TRPs can still enjoy the close-to-zero interrupts of the L1/L2 reporting and signalling.</w:t>
      </w:r>
      <w:r w:rsidR="00F43C5F" w:rsidRPr="006D150D">
        <w:rPr>
          <w:lang w:val="en-GB"/>
        </w:rPr>
        <w:t xml:space="preserve"> In addition, the NW will be provided with richer reporting, facilitating more accurate handover decisions, and better performance during handover. More details can be found in </w:t>
      </w:r>
      <w:r w:rsidR="00F43C5F" w:rsidRPr="006D150D">
        <w:rPr>
          <w:lang w:val="en-GB"/>
        </w:rPr>
        <w:fldChar w:fldCharType="begin"/>
      </w:r>
      <w:r w:rsidR="00F43C5F" w:rsidRPr="006D150D">
        <w:rPr>
          <w:lang w:val="en-GB"/>
        </w:rPr>
        <w:instrText xml:space="preserve"> REF _Ref61434316 \r \h </w:instrText>
      </w:r>
      <w:r w:rsidR="007110DA" w:rsidRPr="006D150D">
        <w:rPr>
          <w:lang w:val="en-GB"/>
        </w:rPr>
        <w:instrText xml:space="preserve"> \* MERGEFORMAT </w:instrText>
      </w:r>
      <w:r w:rsidR="00F43C5F" w:rsidRPr="006D150D">
        <w:rPr>
          <w:lang w:val="en-GB"/>
        </w:rPr>
      </w:r>
      <w:r w:rsidR="00F43C5F" w:rsidRPr="006D150D">
        <w:rPr>
          <w:lang w:val="en-GB"/>
        </w:rPr>
        <w:fldChar w:fldCharType="separate"/>
      </w:r>
      <w:r w:rsidR="00200C26">
        <w:rPr>
          <w:lang w:val="en-GB"/>
        </w:rPr>
        <w:t>[3]</w:t>
      </w:r>
      <w:r w:rsidR="00F43C5F" w:rsidRPr="006D150D">
        <w:rPr>
          <w:lang w:val="en-GB"/>
        </w:rPr>
        <w:fldChar w:fldCharType="end"/>
      </w:r>
      <w:r w:rsidR="00F43C5F" w:rsidRPr="006D150D">
        <w:rPr>
          <w:lang w:val="en-GB"/>
        </w:rPr>
        <w:t>. A first set of agreements have been made in this work item.</w:t>
      </w:r>
    </w:p>
    <w:p w14:paraId="17DBCDB4" w14:textId="5B29ECA3" w:rsidR="00F43372" w:rsidRPr="006D150D" w:rsidRDefault="00F43372" w:rsidP="007E08F4">
      <w:pPr>
        <w:pStyle w:val="Observation"/>
        <w:rPr>
          <w:lang w:val="en-US"/>
        </w:rPr>
      </w:pPr>
      <w:bookmarkStart w:id="7" w:name="_Toc68631298"/>
      <w:r w:rsidRPr="006D150D">
        <w:rPr>
          <w:lang w:val="en-US"/>
        </w:rPr>
        <w:t>The introduction of L1/L2-centric intercell mobility will lead to better performance across TRPs broadcasting different PCIs for some scenarios.</w:t>
      </w:r>
      <w:bookmarkEnd w:id="7"/>
      <w:r w:rsidRPr="006D150D">
        <w:rPr>
          <w:lang w:val="en-US"/>
        </w:rPr>
        <w:t xml:space="preserve">   </w:t>
      </w:r>
    </w:p>
    <w:p w14:paraId="47C1222F" w14:textId="23A668CE" w:rsidR="00F43C5F" w:rsidRPr="006D150D" w:rsidRDefault="00F43C5F" w:rsidP="007E08F4">
      <w:pPr>
        <w:pStyle w:val="BodyText"/>
        <w:rPr>
          <w:lang w:val="en-GB"/>
        </w:rPr>
      </w:pPr>
      <w:r w:rsidRPr="006D150D">
        <w:rPr>
          <w:lang w:val="en-GB"/>
        </w:rPr>
        <w:t xml:space="preserve">However, the time-allocation in RAN2 for the </w:t>
      </w:r>
      <w:proofErr w:type="spellStart"/>
      <w:r w:rsidRPr="006D150D">
        <w:rPr>
          <w:lang w:val="en-GB"/>
        </w:rPr>
        <w:t>feMIMO</w:t>
      </w:r>
      <w:proofErr w:type="spellEnd"/>
      <w:r w:rsidRPr="006D150D">
        <w:rPr>
          <w:lang w:val="en-GB"/>
        </w:rPr>
        <w:t xml:space="preserve"> WI is quite small. Therefore, </w:t>
      </w:r>
      <w:proofErr w:type="gramStart"/>
      <w:r w:rsidRPr="006D150D">
        <w:rPr>
          <w:lang w:val="en-GB"/>
        </w:rPr>
        <w:t>it is clear that there</w:t>
      </w:r>
      <w:proofErr w:type="gramEnd"/>
      <w:r w:rsidRPr="006D150D">
        <w:rPr>
          <w:lang w:val="en-GB"/>
        </w:rPr>
        <w:t xml:space="preserve"> will be restrictions on the functionality, also when Rel-17 is completed:</w:t>
      </w:r>
    </w:p>
    <w:p w14:paraId="679BE85B" w14:textId="0CB89E5C" w:rsidR="00B9187E" w:rsidRPr="006D150D" w:rsidRDefault="006D150D" w:rsidP="00F43C5F">
      <w:pPr>
        <w:pStyle w:val="BodyText"/>
        <w:numPr>
          <w:ilvl w:val="0"/>
          <w:numId w:val="25"/>
        </w:numPr>
        <w:rPr>
          <w:lang w:val="en-GB"/>
        </w:rPr>
      </w:pPr>
      <w:r w:rsidRPr="006D150D">
        <w:rPr>
          <w:lang w:val="en-GB"/>
        </w:rPr>
        <w:t>It is unlikely that t</w:t>
      </w:r>
      <w:r w:rsidR="00F43C5F" w:rsidRPr="006D150D">
        <w:rPr>
          <w:lang w:val="en-GB"/>
        </w:rPr>
        <w:t>here will be automatic update</w:t>
      </w:r>
      <w:r w:rsidRPr="006D150D">
        <w:rPr>
          <w:lang w:val="en-GB"/>
        </w:rPr>
        <w:t>s</w:t>
      </w:r>
      <w:r w:rsidR="00F43C5F" w:rsidRPr="006D150D">
        <w:rPr>
          <w:lang w:val="en-GB"/>
        </w:rPr>
        <w:t xml:space="preserve"> of the UE configuration as it is transferred from one TRP to another. This puts restrictions on the configuration of the corresponding cells.</w:t>
      </w:r>
    </w:p>
    <w:p w14:paraId="4FBD631A" w14:textId="746FF7EF" w:rsidR="00F43C5F" w:rsidRPr="006D150D" w:rsidRDefault="00B9187E" w:rsidP="00F43C5F">
      <w:pPr>
        <w:pStyle w:val="BodyText"/>
        <w:numPr>
          <w:ilvl w:val="0"/>
          <w:numId w:val="25"/>
        </w:numPr>
        <w:rPr>
          <w:lang w:val="en-GB"/>
        </w:rPr>
      </w:pPr>
      <w:r w:rsidRPr="006D150D">
        <w:rPr>
          <w:lang w:val="en-GB"/>
        </w:rPr>
        <w:t>There will not be any specification support</w:t>
      </w:r>
      <w:r w:rsidR="00F43C5F" w:rsidRPr="006D150D">
        <w:rPr>
          <w:lang w:val="en-GB"/>
        </w:rPr>
        <w:t xml:space="preserve"> </w:t>
      </w:r>
      <w:r w:rsidRPr="006D150D">
        <w:rPr>
          <w:lang w:val="en-GB"/>
        </w:rPr>
        <w:t>for inter-DU operation. The possibilities to operate across DUs are unclear.</w:t>
      </w:r>
    </w:p>
    <w:p w14:paraId="1AFC6541" w14:textId="472A16F6" w:rsidR="00F43372" w:rsidRPr="006D150D" w:rsidRDefault="00F43372" w:rsidP="00F43372">
      <w:pPr>
        <w:pStyle w:val="Observation"/>
        <w:rPr>
          <w:lang w:val="en-GB"/>
        </w:rPr>
      </w:pPr>
      <w:bookmarkStart w:id="8" w:name="_Toc68631299"/>
      <w:r w:rsidRPr="006D150D">
        <w:rPr>
          <w:lang w:val="en-GB"/>
        </w:rPr>
        <w:t xml:space="preserve">With the foreseen Rel-17 improvements, there are still important scenarios/deployment where the mobility performance </w:t>
      </w:r>
      <w:r w:rsidR="006D150D" w:rsidRPr="006D150D">
        <w:rPr>
          <w:lang w:val="en-GB"/>
        </w:rPr>
        <w:t>needs</w:t>
      </w:r>
      <w:r w:rsidRPr="006D150D">
        <w:rPr>
          <w:lang w:val="en-GB"/>
        </w:rPr>
        <w:t xml:space="preserve"> to be improved.</w:t>
      </w:r>
      <w:bookmarkEnd w:id="8"/>
    </w:p>
    <w:p w14:paraId="0AAEA5FB" w14:textId="77777777" w:rsidR="00B9187E" w:rsidRPr="006D150D" w:rsidRDefault="00B9187E" w:rsidP="00B9187E">
      <w:pPr>
        <w:pStyle w:val="Heading1"/>
      </w:pPr>
      <w:r w:rsidRPr="006D150D">
        <w:t>Conclusion</w:t>
      </w:r>
    </w:p>
    <w:p w14:paraId="7F76C9E0" w14:textId="77777777" w:rsidR="00B9187E" w:rsidRPr="006D150D" w:rsidRDefault="00B9187E" w:rsidP="00B9187E">
      <w:pPr>
        <w:pStyle w:val="BodyText"/>
        <w:rPr>
          <w:b/>
          <w:bCs/>
          <w:lang w:val="en-US"/>
        </w:rPr>
      </w:pPr>
      <w:r w:rsidRPr="006D150D">
        <w:rPr>
          <w:lang w:val="en-US"/>
        </w:rPr>
        <w:t>In the previous sections we made the following observations:</w:t>
      </w:r>
      <w:r w:rsidRPr="006D150D">
        <w:rPr>
          <w:b/>
          <w:bCs/>
          <w:lang w:val="en-US"/>
        </w:rPr>
        <w:t xml:space="preserve"> </w:t>
      </w:r>
    </w:p>
    <w:p w14:paraId="094B891E" w14:textId="77777777" w:rsidR="00200C26" w:rsidRDefault="00B9187E">
      <w:pPr>
        <w:pStyle w:val="TableofFigures"/>
        <w:tabs>
          <w:tab w:val="right" w:leader="dot" w:pos="9629"/>
        </w:tabs>
        <w:rPr>
          <w:rFonts w:asciiTheme="minorHAnsi" w:eastAsiaTheme="minorEastAsia" w:hAnsiTheme="minorHAnsi" w:cstheme="minorBidi"/>
          <w:b w:val="0"/>
          <w:noProof/>
          <w:sz w:val="22"/>
          <w:szCs w:val="22"/>
          <w:lang w:eastAsia="sv-SE"/>
        </w:rPr>
      </w:pPr>
      <w:r w:rsidRPr="007110DA">
        <w:rPr>
          <w:b w:val="0"/>
          <w:bCs/>
          <w:highlight w:val="yellow"/>
        </w:rPr>
        <w:fldChar w:fldCharType="begin"/>
      </w:r>
      <w:r w:rsidRPr="007110DA">
        <w:rPr>
          <w:b w:val="0"/>
          <w:bCs/>
          <w:highlight w:val="yellow"/>
        </w:rPr>
        <w:instrText xml:space="preserve"> TOC \f O \n \h \z \t "Observation" \c </w:instrText>
      </w:r>
      <w:r w:rsidRPr="007110DA">
        <w:rPr>
          <w:b w:val="0"/>
          <w:bCs/>
          <w:highlight w:val="yellow"/>
        </w:rPr>
        <w:fldChar w:fldCharType="separate"/>
      </w:r>
      <w:hyperlink w:anchor="_Toc68631294" w:history="1">
        <w:r w:rsidR="00200C26" w:rsidRPr="00715409">
          <w:rPr>
            <w:rStyle w:val="Hyperlink"/>
            <w:noProof/>
            <w:lang w:val="en-US"/>
          </w:rPr>
          <w:t>Observation 1</w:t>
        </w:r>
        <w:r w:rsidR="00200C26">
          <w:rPr>
            <w:rFonts w:asciiTheme="minorHAnsi" w:eastAsiaTheme="minorEastAsia" w:hAnsiTheme="minorHAnsi" w:cstheme="minorBidi"/>
            <w:b w:val="0"/>
            <w:noProof/>
            <w:sz w:val="22"/>
            <w:szCs w:val="22"/>
            <w:lang w:eastAsia="sv-SE"/>
          </w:rPr>
          <w:tab/>
        </w:r>
        <w:r w:rsidR="00200C26" w:rsidRPr="00715409">
          <w:rPr>
            <w:rStyle w:val="Hyperlink"/>
            <w:noProof/>
            <w:lang w:val="en-US"/>
          </w:rPr>
          <w:t>Intra-cell mobility may lead to that more users are unsatisfied, since more UEs will experience challenging radio conditions.</w:t>
        </w:r>
      </w:hyperlink>
    </w:p>
    <w:p w14:paraId="31D7F880" w14:textId="77777777" w:rsidR="00200C26" w:rsidRDefault="00200C26">
      <w:pPr>
        <w:pStyle w:val="TableofFigures"/>
        <w:tabs>
          <w:tab w:val="right" w:leader="dot" w:pos="9629"/>
        </w:tabs>
        <w:rPr>
          <w:rFonts w:asciiTheme="minorHAnsi" w:eastAsiaTheme="minorEastAsia" w:hAnsiTheme="minorHAnsi" w:cstheme="minorBidi"/>
          <w:b w:val="0"/>
          <w:noProof/>
          <w:sz w:val="22"/>
          <w:szCs w:val="22"/>
          <w:lang w:eastAsia="sv-SE"/>
        </w:rPr>
      </w:pPr>
      <w:hyperlink w:anchor="_Toc68631295" w:history="1">
        <w:r w:rsidRPr="00715409">
          <w:rPr>
            <w:rStyle w:val="Hyperlink"/>
            <w:noProof/>
            <w:lang w:val="en-US"/>
          </w:rPr>
          <w:t>Observation 2</w:t>
        </w:r>
        <w:r>
          <w:rPr>
            <w:rFonts w:asciiTheme="minorHAnsi" w:eastAsiaTheme="minorEastAsia" w:hAnsiTheme="minorHAnsi" w:cstheme="minorBidi"/>
            <w:b w:val="0"/>
            <w:noProof/>
            <w:sz w:val="22"/>
            <w:szCs w:val="22"/>
            <w:lang w:eastAsia="sv-SE"/>
          </w:rPr>
          <w:tab/>
        </w:r>
        <w:r w:rsidRPr="00715409">
          <w:rPr>
            <w:rStyle w:val="Hyperlink"/>
            <w:noProof/>
            <w:lang w:val="en-US"/>
          </w:rPr>
          <w:t>The service interruption is dominated by UE processing related to synchronization and is at best around 40ms.</w:t>
        </w:r>
      </w:hyperlink>
    </w:p>
    <w:p w14:paraId="45650D9B" w14:textId="77777777" w:rsidR="00200C26" w:rsidRDefault="00200C26">
      <w:pPr>
        <w:pStyle w:val="TableofFigures"/>
        <w:tabs>
          <w:tab w:val="right" w:leader="dot" w:pos="9629"/>
        </w:tabs>
        <w:rPr>
          <w:rFonts w:asciiTheme="minorHAnsi" w:eastAsiaTheme="minorEastAsia" w:hAnsiTheme="minorHAnsi" w:cstheme="minorBidi"/>
          <w:b w:val="0"/>
          <w:noProof/>
          <w:sz w:val="22"/>
          <w:szCs w:val="22"/>
          <w:lang w:eastAsia="sv-SE"/>
        </w:rPr>
      </w:pPr>
      <w:hyperlink w:anchor="_Toc68631296" w:history="1">
        <w:r w:rsidRPr="00715409">
          <w:rPr>
            <w:rStyle w:val="Hyperlink"/>
            <w:noProof/>
            <w:lang w:val="en-US"/>
          </w:rPr>
          <w:t>Observation 3</w:t>
        </w:r>
        <w:r>
          <w:rPr>
            <w:rFonts w:asciiTheme="minorHAnsi" w:eastAsiaTheme="minorEastAsia" w:hAnsiTheme="minorHAnsi" w:cstheme="minorBidi"/>
            <w:b w:val="0"/>
            <w:noProof/>
            <w:sz w:val="22"/>
            <w:szCs w:val="22"/>
            <w:lang w:eastAsia="sv-SE"/>
          </w:rPr>
          <w:tab/>
        </w:r>
        <w:r w:rsidRPr="00715409">
          <w:rPr>
            <w:rStyle w:val="Hyperlink"/>
            <w:noProof/>
            <w:lang w:val="en-US"/>
          </w:rPr>
          <w:t>2-step RACH does not impact the factors dominating the service interruption.</w:t>
        </w:r>
      </w:hyperlink>
    </w:p>
    <w:p w14:paraId="50C7DB9C" w14:textId="77777777" w:rsidR="00200C26" w:rsidRDefault="00200C26">
      <w:pPr>
        <w:pStyle w:val="TableofFigures"/>
        <w:tabs>
          <w:tab w:val="right" w:leader="dot" w:pos="9629"/>
        </w:tabs>
        <w:rPr>
          <w:rFonts w:asciiTheme="minorHAnsi" w:eastAsiaTheme="minorEastAsia" w:hAnsiTheme="minorHAnsi" w:cstheme="minorBidi"/>
          <w:b w:val="0"/>
          <w:noProof/>
          <w:sz w:val="22"/>
          <w:szCs w:val="22"/>
          <w:lang w:eastAsia="sv-SE"/>
        </w:rPr>
      </w:pPr>
      <w:hyperlink w:anchor="_Toc68631297" w:history="1">
        <w:r w:rsidRPr="00715409">
          <w:rPr>
            <w:rStyle w:val="Hyperlink"/>
            <w:noProof/>
            <w:lang w:val="en-US"/>
          </w:rPr>
          <w:t>Observation 4</w:t>
        </w:r>
        <w:r>
          <w:rPr>
            <w:rFonts w:asciiTheme="minorHAnsi" w:eastAsiaTheme="minorEastAsia" w:hAnsiTheme="minorHAnsi" w:cstheme="minorBidi"/>
            <w:b w:val="0"/>
            <w:noProof/>
            <w:sz w:val="22"/>
            <w:szCs w:val="22"/>
            <w:lang w:eastAsia="sv-SE"/>
          </w:rPr>
          <w:tab/>
        </w:r>
        <w:r w:rsidRPr="00715409">
          <w:rPr>
            <w:rStyle w:val="Hyperlink"/>
            <w:noProof/>
            <w:lang w:val="en-US"/>
          </w:rPr>
          <w:t>DAPS reduces the service interruption to zero, but is not applicable to FR2, CA or DC.</w:t>
        </w:r>
      </w:hyperlink>
    </w:p>
    <w:p w14:paraId="1E40C385" w14:textId="77777777" w:rsidR="00200C26" w:rsidRDefault="00200C26">
      <w:pPr>
        <w:pStyle w:val="TableofFigures"/>
        <w:tabs>
          <w:tab w:val="right" w:leader="dot" w:pos="9629"/>
        </w:tabs>
        <w:rPr>
          <w:rFonts w:asciiTheme="minorHAnsi" w:eastAsiaTheme="minorEastAsia" w:hAnsiTheme="minorHAnsi" w:cstheme="minorBidi"/>
          <w:b w:val="0"/>
          <w:noProof/>
          <w:sz w:val="22"/>
          <w:szCs w:val="22"/>
          <w:lang w:eastAsia="sv-SE"/>
        </w:rPr>
      </w:pPr>
      <w:hyperlink w:anchor="_Toc68631298" w:history="1">
        <w:r w:rsidRPr="00715409">
          <w:rPr>
            <w:rStyle w:val="Hyperlink"/>
            <w:noProof/>
            <w:lang w:val="en-US"/>
          </w:rPr>
          <w:t>Observation 5</w:t>
        </w:r>
        <w:r>
          <w:rPr>
            <w:rFonts w:asciiTheme="minorHAnsi" w:eastAsiaTheme="minorEastAsia" w:hAnsiTheme="minorHAnsi" w:cstheme="minorBidi"/>
            <w:b w:val="0"/>
            <w:noProof/>
            <w:sz w:val="22"/>
            <w:szCs w:val="22"/>
            <w:lang w:eastAsia="sv-SE"/>
          </w:rPr>
          <w:tab/>
        </w:r>
        <w:r w:rsidRPr="00715409">
          <w:rPr>
            <w:rStyle w:val="Hyperlink"/>
            <w:noProof/>
            <w:lang w:val="en-US"/>
          </w:rPr>
          <w:t>The introduction of L1/L2-centric intercell mobility will lead to better performance across TRPs broadcasting different PCIs for some scenarios.</w:t>
        </w:r>
      </w:hyperlink>
    </w:p>
    <w:p w14:paraId="3599829C" w14:textId="77777777" w:rsidR="00200C26" w:rsidRDefault="00200C26">
      <w:pPr>
        <w:pStyle w:val="TableofFigures"/>
        <w:tabs>
          <w:tab w:val="right" w:leader="dot" w:pos="9629"/>
        </w:tabs>
        <w:rPr>
          <w:rFonts w:asciiTheme="minorHAnsi" w:eastAsiaTheme="minorEastAsia" w:hAnsiTheme="minorHAnsi" w:cstheme="minorBidi"/>
          <w:b w:val="0"/>
          <w:noProof/>
          <w:sz w:val="22"/>
          <w:szCs w:val="22"/>
          <w:lang w:eastAsia="sv-SE"/>
        </w:rPr>
      </w:pPr>
      <w:hyperlink w:anchor="_Toc68631299" w:history="1">
        <w:r w:rsidRPr="00715409">
          <w:rPr>
            <w:rStyle w:val="Hyperlink"/>
            <w:noProof/>
            <w:lang w:val="en-GB"/>
          </w:rPr>
          <w:t>Observation 6</w:t>
        </w:r>
        <w:r>
          <w:rPr>
            <w:rFonts w:asciiTheme="minorHAnsi" w:eastAsiaTheme="minorEastAsia" w:hAnsiTheme="minorHAnsi" w:cstheme="minorBidi"/>
            <w:b w:val="0"/>
            <w:noProof/>
            <w:sz w:val="22"/>
            <w:szCs w:val="22"/>
            <w:lang w:eastAsia="sv-SE"/>
          </w:rPr>
          <w:tab/>
        </w:r>
        <w:r w:rsidRPr="00715409">
          <w:rPr>
            <w:rStyle w:val="Hyperlink"/>
            <w:noProof/>
            <w:lang w:val="en-GB"/>
          </w:rPr>
          <w:t>With the foreseen Rel-17 improvements, there are still important scenarios/deployment where the mobility performance needs to be improved.</w:t>
        </w:r>
      </w:hyperlink>
    </w:p>
    <w:p w14:paraId="2221EDDB" w14:textId="5D34647A" w:rsidR="00B9187E" w:rsidRPr="006D150D" w:rsidRDefault="00B9187E" w:rsidP="006D150D">
      <w:pPr>
        <w:pStyle w:val="BodyText"/>
        <w:rPr>
          <w:b/>
          <w:bCs/>
        </w:rPr>
      </w:pPr>
      <w:r w:rsidRPr="007110DA">
        <w:rPr>
          <w:b/>
          <w:bCs/>
          <w:highlight w:val="yellow"/>
        </w:rPr>
        <w:fldChar w:fldCharType="end"/>
      </w:r>
    </w:p>
    <w:p w14:paraId="71D79D99" w14:textId="77777777" w:rsidR="00F507D1" w:rsidRPr="00CE0424" w:rsidRDefault="00F507D1" w:rsidP="00CE0424">
      <w:pPr>
        <w:pStyle w:val="Heading1"/>
      </w:pPr>
      <w:bookmarkStart w:id="9" w:name="_In-sequence_SDU_delivery"/>
      <w:bookmarkEnd w:id="9"/>
      <w:r w:rsidRPr="00CE0424">
        <w:t>References</w:t>
      </w:r>
    </w:p>
    <w:p w14:paraId="0B572F67" w14:textId="42159C39" w:rsidR="005F27B9" w:rsidRPr="00F43372" w:rsidRDefault="005F27B9" w:rsidP="007E08F4">
      <w:pPr>
        <w:pStyle w:val="Reference"/>
        <w:rPr>
          <w:lang w:val="en-US"/>
        </w:rPr>
      </w:pPr>
      <w:bookmarkStart w:id="10" w:name="_Ref54269807"/>
      <w:bookmarkStart w:id="11" w:name="_Ref61510381"/>
      <w:bookmarkStart w:id="12" w:name="_Ref174151459"/>
      <w:bookmarkStart w:id="13" w:name="_Ref189809556"/>
      <w:r w:rsidRPr="00F43372">
        <w:rPr>
          <w:lang w:val="en-US"/>
        </w:rPr>
        <w:t xml:space="preserve">RP-193241, Study on XR Evaluations for NR, Qualcomm, RAN#86, </w:t>
      </w:r>
      <w:proofErr w:type="spellStart"/>
      <w:r w:rsidRPr="00F43372">
        <w:rPr>
          <w:lang w:val="en-US"/>
        </w:rPr>
        <w:t>Sitges</w:t>
      </w:r>
      <w:proofErr w:type="spellEnd"/>
      <w:r w:rsidRPr="00F43372">
        <w:rPr>
          <w:lang w:val="en-US"/>
        </w:rPr>
        <w:t>, December 2019</w:t>
      </w:r>
      <w:bookmarkEnd w:id="10"/>
      <w:r w:rsidR="00C37E77" w:rsidRPr="00F43372">
        <w:rPr>
          <w:lang w:val="en-US"/>
        </w:rPr>
        <w:t>.</w:t>
      </w:r>
      <w:bookmarkEnd w:id="11"/>
    </w:p>
    <w:p w14:paraId="52171364" w14:textId="35B35EB7" w:rsidR="007E08F4" w:rsidRPr="00F43372" w:rsidRDefault="007E08F4" w:rsidP="007E08F4">
      <w:pPr>
        <w:pStyle w:val="Reference"/>
        <w:rPr>
          <w:lang w:val="en-US"/>
        </w:rPr>
      </w:pPr>
      <w:bookmarkStart w:id="14" w:name="_Ref31185007"/>
      <w:r w:rsidRPr="00F43372">
        <w:rPr>
          <w:lang w:val="en-US"/>
        </w:rPr>
        <w:t xml:space="preserve">RP-193133, New WID: Further enhancements on MIMO for NR, Samsung, RAN#86, </w:t>
      </w:r>
      <w:proofErr w:type="spellStart"/>
      <w:r w:rsidRPr="00F43372">
        <w:rPr>
          <w:lang w:val="en-US"/>
        </w:rPr>
        <w:t>Sitges</w:t>
      </w:r>
      <w:proofErr w:type="spellEnd"/>
      <w:r w:rsidRPr="00F43372">
        <w:rPr>
          <w:lang w:val="en-US"/>
        </w:rPr>
        <w:t>, December 2019</w:t>
      </w:r>
      <w:bookmarkEnd w:id="14"/>
      <w:r w:rsidRPr="00F43372">
        <w:rPr>
          <w:lang w:val="en-US"/>
        </w:rPr>
        <w:t xml:space="preserve"> </w:t>
      </w:r>
    </w:p>
    <w:p w14:paraId="715CA09B" w14:textId="1645D007" w:rsidR="003A7EF3" w:rsidRPr="002E6AA9" w:rsidRDefault="00F43C5F" w:rsidP="007E08F4">
      <w:pPr>
        <w:pStyle w:val="Reference"/>
        <w:spacing w:line="259" w:lineRule="auto"/>
        <w:rPr>
          <w:lang w:val="en-US"/>
        </w:rPr>
      </w:pPr>
      <w:bookmarkStart w:id="15" w:name="_Ref61434316"/>
      <w:bookmarkStart w:id="16" w:name="_Ref61433876"/>
      <w:r w:rsidRPr="00F43C5F">
        <w:rPr>
          <w:lang w:val="en-US"/>
        </w:rPr>
        <w:t>R1-2101318 Additional simulation results for multi-beam operation, Ericsson, RAN1#104-e, January 2021</w:t>
      </w:r>
      <w:bookmarkEnd w:id="15"/>
      <w:bookmarkEnd w:id="16"/>
      <w:bookmarkEnd w:id="12"/>
      <w:bookmarkEnd w:id="13"/>
    </w:p>
    <w:sectPr w:rsidR="003A7EF3" w:rsidRPr="002E6AA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7E78A" w14:textId="77777777" w:rsidR="00C66AF7" w:rsidRDefault="00C66AF7">
      <w:r>
        <w:separator/>
      </w:r>
    </w:p>
  </w:endnote>
  <w:endnote w:type="continuationSeparator" w:id="0">
    <w:p w14:paraId="749915E7" w14:textId="77777777" w:rsidR="00C66AF7" w:rsidRDefault="00C66AF7">
      <w:r>
        <w:continuationSeparator/>
      </w:r>
    </w:p>
  </w:endnote>
  <w:endnote w:type="continuationNotice" w:id="1">
    <w:p w14:paraId="44684958" w14:textId="77777777" w:rsidR="00C66AF7" w:rsidRDefault="00C66A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54829" w:rsidRDefault="00D548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31F86" w14:textId="77777777" w:rsidR="00C66AF7" w:rsidRDefault="00C66AF7">
      <w:r>
        <w:separator/>
      </w:r>
    </w:p>
  </w:footnote>
  <w:footnote w:type="continuationSeparator" w:id="0">
    <w:p w14:paraId="589D4262" w14:textId="77777777" w:rsidR="00C66AF7" w:rsidRDefault="00C66AF7">
      <w:r>
        <w:continuationSeparator/>
      </w:r>
    </w:p>
  </w:footnote>
  <w:footnote w:type="continuationNotice" w:id="1">
    <w:p w14:paraId="76AFCBD2" w14:textId="77777777" w:rsidR="00C66AF7" w:rsidRDefault="00C66A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54829" w:rsidRDefault="00D548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2A54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1E94645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CC1A80FA">
      <w:start w:val="1"/>
      <w:numFmt w:val="lowerRoman"/>
      <w:pStyle w:val="ListNumber3"/>
      <w:lvlText w:val="%1."/>
      <w:lvlJc w:val="right"/>
      <w:pPr>
        <w:ind w:left="926" w:hanging="360"/>
      </w:pPr>
    </w:lvl>
    <w:lvl w:ilvl="1" w:tplc="94AACC02">
      <w:numFmt w:val="decimal"/>
      <w:lvlText w:val=""/>
      <w:lvlJc w:val="left"/>
    </w:lvl>
    <w:lvl w:ilvl="2" w:tplc="FFB8CDFC">
      <w:numFmt w:val="decimal"/>
      <w:lvlText w:val=""/>
      <w:lvlJc w:val="left"/>
    </w:lvl>
    <w:lvl w:ilvl="3" w:tplc="E4D44470">
      <w:numFmt w:val="decimal"/>
      <w:lvlText w:val=""/>
      <w:lvlJc w:val="left"/>
    </w:lvl>
    <w:lvl w:ilvl="4" w:tplc="0380AD8C">
      <w:numFmt w:val="decimal"/>
      <w:lvlText w:val=""/>
      <w:lvlJc w:val="left"/>
    </w:lvl>
    <w:lvl w:ilvl="5" w:tplc="687252C0">
      <w:numFmt w:val="decimal"/>
      <w:lvlText w:val=""/>
      <w:lvlJc w:val="left"/>
    </w:lvl>
    <w:lvl w:ilvl="6" w:tplc="06822862">
      <w:numFmt w:val="decimal"/>
      <w:lvlText w:val=""/>
      <w:lvlJc w:val="left"/>
    </w:lvl>
    <w:lvl w:ilvl="7" w:tplc="816EE646">
      <w:numFmt w:val="decimal"/>
      <w:lvlText w:val=""/>
      <w:lvlJc w:val="left"/>
    </w:lvl>
    <w:lvl w:ilvl="8" w:tplc="8C88AE30">
      <w:numFmt w:val="decimal"/>
      <w:lvlText w:val=""/>
      <w:lvlJc w:val="left"/>
    </w:lvl>
  </w:abstractNum>
  <w:abstractNum w:abstractNumId="3" w15:restartNumberingAfterBreak="0">
    <w:nsid w:val="02552047"/>
    <w:multiLevelType w:val="multilevel"/>
    <w:tmpl w:val="6E82C97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0F753B"/>
    <w:multiLevelType w:val="hybridMultilevel"/>
    <w:tmpl w:val="4866F168"/>
    <w:lvl w:ilvl="0" w:tplc="4E5CA9E4">
      <w:numFmt w:val="bullet"/>
      <w:lvlText w:val="-"/>
      <w:lvlJc w:val="left"/>
      <w:pPr>
        <w:ind w:left="720" w:hanging="360"/>
      </w:pPr>
      <w:rPr>
        <w:rFonts w:ascii="Times New Roman" w:eastAsia="MS Mincho" w:hAnsi="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337762"/>
    <w:multiLevelType w:val="hybridMultilevel"/>
    <w:tmpl w:val="5970866A"/>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B938C8"/>
    <w:multiLevelType w:val="hybridMultilevel"/>
    <w:tmpl w:val="04AC9EF6"/>
    <w:lvl w:ilvl="0" w:tplc="5B4CF1CE">
      <w:start w:val="4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DA17A9"/>
    <w:multiLevelType w:val="hybridMultilevel"/>
    <w:tmpl w:val="BF62AB18"/>
    <w:lvl w:ilvl="0" w:tplc="4E5CA9E4">
      <w:numFmt w:val="bullet"/>
      <w:lvlText w:val="-"/>
      <w:lvlJc w:val="left"/>
      <w:pPr>
        <w:ind w:left="720" w:hanging="360"/>
      </w:pPr>
      <w:rPr>
        <w:rFonts w:ascii="Times New Roman" w:eastAsia="MS Mincho" w:hAnsi="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8901895"/>
    <w:multiLevelType w:val="hybridMultilevel"/>
    <w:tmpl w:val="758617EE"/>
    <w:lvl w:ilvl="0" w:tplc="73F86F80">
      <w:start w:val="1"/>
      <w:numFmt w:val="bullet"/>
      <w:lvlText w:val="●"/>
      <w:lvlJc w:val="left"/>
      <w:pPr>
        <w:tabs>
          <w:tab w:val="num" w:pos="720"/>
        </w:tabs>
        <w:ind w:left="720" w:hanging="360"/>
      </w:pPr>
      <w:rPr>
        <w:rFonts w:ascii="Ericsson Hilda" w:hAnsi="Ericsson Hilda" w:hint="default"/>
      </w:rPr>
    </w:lvl>
    <w:lvl w:ilvl="1" w:tplc="1B562DF8">
      <w:start w:val="238"/>
      <w:numFmt w:val="bullet"/>
      <w:lvlText w:val="●"/>
      <w:lvlJc w:val="left"/>
      <w:pPr>
        <w:tabs>
          <w:tab w:val="num" w:pos="1440"/>
        </w:tabs>
        <w:ind w:left="1440" w:hanging="360"/>
      </w:pPr>
      <w:rPr>
        <w:rFonts w:ascii="Ericsson Hilda" w:hAnsi="Ericsson Hilda" w:hint="default"/>
      </w:rPr>
    </w:lvl>
    <w:lvl w:ilvl="2" w:tplc="F1FC0478" w:tentative="1">
      <w:start w:val="1"/>
      <w:numFmt w:val="bullet"/>
      <w:lvlText w:val="●"/>
      <w:lvlJc w:val="left"/>
      <w:pPr>
        <w:tabs>
          <w:tab w:val="num" w:pos="2160"/>
        </w:tabs>
        <w:ind w:left="2160" w:hanging="360"/>
      </w:pPr>
      <w:rPr>
        <w:rFonts w:ascii="Ericsson Hilda" w:hAnsi="Ericsson Hilda" w:hint="default"/>
      </w:rPr>
    </w:lvl>
    <w:lvl w:ilvl="3" w:tplc="A76A3A26" w:tentative="1">
      <w:start w:val="1"/>
      <w:numFmt w:val="bullet"/>
      <w:lvlText w:val="●"/>
      <w:lvlJc w:val="left"/>
      <w:pPr>
        <w:tabs>
          <w:tab w:val="num" w:pos="2880"/>
        </w:tabs>
        <w:ind w:left="2880" w:hanging="360"/>
      </w:pPr>
      <w:rPr>
        <w:rFonts w:ascii="Ericsson Hilda" w:hAnsi="Ericsson Hilda" w:hint="default"/>
      </w:rPr>
    </w:lvl>
    <w:lvl w:ilvl="4" w:tplc="0B588468" w:tentative="1">
      <w:start w:val="1"/>
      <w:numFmt w:val="bullet"/>
      <w:lvlText w:val="●"/>
      <w:lvlJc w:val="left"/>
      <w:pPr>
        <w:tabs>
          <w:tab w:val="num" w:pos="3600"/>
        </w:tabs>
        <w:ind w:left="3600" w:hanging="360"/>
      </w:pPr>
      <w:rPr>
        <w:rFonts w:ascii="Ericsson Hilda" w:hAnsi="Ericsson Hilda" w:hint="default"/>
      </w:rPr>
    </w:lvl>
    <w:lvl w:ilvl="5" w:tplc="01F6A308" w:tentative="1">
      <w:start w:val="1"/>
      <w:numFmt w:val="bullet"/>
      <w:lvlText w:val="●"/>
      <w:lvlJc w:val="left"/>
      <w:pPr>
        <w:tabs>
          <w:tab w:val="num" w:pos="4320"/>
        </w:tabs>
        <w:ind w:left="4320" w:hanging="360"/>
      </w:pPr>
      <w:rPr>
        <w:rFonts w:ascii="Ericsson Hilda" w:hAnsi="Ericsson Hilda" w:hint="default"/>
      </w:rPr>
    </w:lvl>
    <w:lvl w:ilvl="6" w:tplc="F6D853D2" w:tentative="1">
      <w:start w:val="1"/>
      <w:numFmt w:val="bullet"/>
      <w:lvlText w:val="●"/>
      <w:lvlJc w:val="left"/>
      <w:pPr>
        <w:tabs>
          <w:tab w:val="num" w:pos="5040"/>
        </w:tabs>
        <w:ind w:left="5040" w:hanging="360"/>
      </w:pPr>
      <w:rPr>
        <w:rFonts w:ascii="Ericsson Hilda" w:hAnsi="Ericsson Hilda" w:hint="default"/>
      </w:rPr>
    </w:lvl>
    <w:lvl w:ilvl="7" w:tplc="1AF80A6C" w:tentative="1">
      <w:start w:val="1"/>
      <w:numFmt w:val="bullet"/>
      <w:lvlText w:val="●"/>
      <w:lvlJc w:val="left"/>
      <w:pPr>
        <w:tabs>
          <w:tab w:val="num" w:pos="5760"/>
        </w:tabs>
        <w:ind w:left="5760" w:hanging="360"/>
      </w:pPr>
      <w:rPr>
        <w:rFonts w:ascii="Ericsson Hilda" w:hAnsi="Ericsson Hilda" w:hint="default"/>
      </w:rPr>
    </w:lvl>
    <w:lvl w:ilvl="8" w:tplc="37F2CDB2"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5"/>
  </w:num>
  <w:num w:numId="16">
    <w:abstractNumId w:val="24"/>
  </w:num>
  <w:num w:numId="17">
    <w:abstractNumId w:val="6"/>
  </w:num>
  <w:num w:numId="18">
    <w:abstractNumId w:val="7"/>
  </w:num>
  <w:num w:numId="19">
    <w:abstractNumId w:val="4"/>
  </w:num>
  <w:num w:numId="20">
    <w:abstractNumId w:val="27"/>
  </w:num>
  <w:num w:numId="21">
    <w:abstractNumId w:val="12"/>
  </w:num>
  <w:num w:numId="22">
    <w:abstractNumId w:val="26"/>
  </w:num>
  <w:num w:numId="23">
    <w:abstractNumId w:val="8"/>
  </w:num>
  <w:num w:numId="24">
    <w:abstractNumId w:val="25"/>
  </w:num>
  <w:num w:numId="25">
    <w:abstractNumId w:val="5"/>
  </w:num>
  <w:num w:numId="26">
    <w:abstractNumId w:val="18"/>
  </w:num>
  <w:num w:numId="27">
    <w:abstractNumId w:val="23"/>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36"/>
    <w:rsid w:val="00002A37"/>
    <w:rsid w:val="0000564C"/>
    <w:rsid w:val="00006446"/>
    <w:rsid w:val="00006896"/>
    <w:rsid w:val="00007CDC"/>
    <w:rsid w:val="00011B28"/>
    <w:rsid w:val="000129EF"/>
    <w:rsid w:val="00015D15"/>
    <w:rsid w:val="0002564D"/>
    <w:rsid w:val="00025C5F"/>
    <w:rsid w:val="00025E16"/>
    <w:rsid w:val="00025ECA"/>
    <w:rsid w:val="00030DA2"/>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268"/>
    <w:rsid w:val="0009009F"/>
    <w:rsid w:val="00091557"/>
    <w:rsid w:val="000924C1"/>
    <w:rsid w:val="000924F0"/>
    <w:rsid w:val="00093474"/>
    <w:rsid w:val="000941B5"/>
    <w:rsid w:val="0009510F"/>
    <w:rsid w:val="000964EF"/>
    <w:rsid w:val="000A1B7B"/>
    <w:rsid w:val="000A56F2"/>
    <w:rsid w:val="000B2719"/>
    <w:rsid w:val="000B3A8F"/>
    <w:rsid w:val="000B3FD6"/>
    <w:rsid w:val="000B4AB9"/>
    <w:rsid w:val="000B58C3"/>
    <w:rsid w:val="000B61E9"/>
    <w:rsid w:val="000C165A"/>
    <w:rsid w:val="000C2E19"/>
    <w:rsid w:val="000D0D07"/>
    <w:rsid w:val="000D26E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4C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0C26"/>
    <w:rsid w:val="00201F3A"/>
    <w:rsid w:val="00203F96"/>
    <w:rsid w:val="002069B2"/>
    <w:rsid w:val="00207FA3"/>
    <w:rsid w:val="002109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643"/>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DCF"/>
    <w:rsid w:val="002B24D6"/>
    <w:rsid w:val="002C41E6"/>
    <w:rsid w:val="002D071A"/>
    <w:rsid w:val="002D34B2"/>
    <w:rsid w:val="002D48B0"/>
    <w:rsid w:val="002D5B37"/>
    <w:rsid w:val="002D7637"/>
    <w:rsid w:val="002E17F2"/>
    <w:rsid w:val="002E6AA9"/>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50D2"/>
    <w:rsid w:val="00346DB5"/>
    <w:rsid w:val="003477B1"/>
    <w:rsid w:val="00357380"/>
    <w:rsid w:val="003602D9"/>
    <w:rsid w:val="003604CE"/>
    <w:rsid w:val="00370E47"/>
    <w:rsid w:val="003738C3"/>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AD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3E1B"/>
    <w:rsid w:val="00464689"/>
    <w:rsid w:val="004669E2"/>
    <w:rsid w:val="004703CA"/>
    <w:rsid w:val="00470C31"/>
    <w:rsid w:val="00471DE0"/>
    <w:rsid w:val="004734D0"/>
    <w:rsid w:val="0047556B"/>
    <w:rsid w:val="00477768"/>
    <w:rsid w:val="00483FF9"/>
    <w:rsid w:val="00492BC5"/>
    <w:rsid w:val="004964F1"/>
    <w:rsid w:val="004A16BC"/>
    <w:rsid w:val="004A2B94"/>
    <w:rsid w:val="004B6F6A"/>
    <w:rsid w:val="004B7C0C"/>
    <w:rsid w:val="004C3898"/>
    <w:rsid w:val="004D150A"/>
    <w:rsid w:val="004D36B1"/>
    <w:rsid w:val="004D4C04"/>
    <w:rsid w:val="004D7EBD"/>
    <w:rsid w:val="004E2680"/>
    <w:rsid w:val="004E28F9"/>
    <w:rsid w:val="004E462E"/>
    <w:rsid w:val="004E56DC"/>
    <w:rsid w:val="004E68BA"/>
    <w:rsid w:val="004E76F4"/>
    <w:rsid w:val="004F0B4E"/>
    <w:rsid w:val="004F0B6C"/>
    <w:rsid w:val="004F2078"/>
    <w:rsid w:val="004F3A54"/>
    <w:rsid w:val="004F4DA3"/>
    <w:rsid w:val="0050511F"/>
    <w:rsid w:val="00506557"/>
    <w:rsid w:val="0050677A"/>
    <w:rsid w:val="005108D8"/>
    <w:rsid w:val="005116F9"/>
    <w:rsid w:val="00513D31"/>
    <w:rsid w:val="005153A7"/>
    <w:rsid w:val="005219CF"/>
    <w:rsid w:val="00534B59"/>
    <w:rsid w:val="00536759"/>
    <w:rsid w:val="00537C62"/>
    <w:rsid w:val="00540155"/>
    <w:rsid w:val="00546970"/>
    <w:rsid w:val="00554E19"/>
    <w:rsid w:val="0056121F"/>
    <w:rsid w:val="00572505"/>
    <w:rsid w:val="00582809"/>
    <w:rsid w:val="0058798C"/>
    <w:rsid w:val="005900FA"/>
    <w:rsid w:val="005935A4"/>
    <w:rsid w:val="005948C2"/>
    <w:rsid w:val="00595DCA"/>
    <w:rsid w:val="0059779B"/>
    <w:rsid w:val="00597D71"/>
    <w:rsid w:val="005A209A"/>
    <w:rsid w:val="005A662D"/>
    <w:rsid w:val="005B1409"/>
    <w:rsid w:val="005B35D7"/>
    <w:rsid w:val="005B392A"/>
    <w:rsid w:val="005B3AA3"/>
    <w:rsid w:val="005B6F83"/>
    <w:rsid w:val="005C74FB"/>
    <w:rsid w:val="005D1602"/>
    <w:rsid w:val="005D3B40"/>
    <w:rsid w:val="005E385F"/>
    <w:rsid w:val="005E5B81"/>
    <w:rsid w:val="005F1645"/>
    <w:rsid w:val="005F27B9"/>
    <w:rsid w:val="005F2CB1"/>
    <w:rsid w:val="005F3025"/>
    <w:rsid w:val="005F618C"/>
    <w:rsid w:val="005F70BD"/>
    <w:rsid w:val="0060283C"/>
    <w:rsid w:val="00604B18"/>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1C64"/>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455"/>
    <w:rsid w:val="00675C72"/>
    <w:rsid w:val="006771F9"/>
    <w:rsid w:val="006776D7"/>
    <w:rsid w:val="00681003"/>
    <w:rsid w:val="006817C9"/>
    <w:rsid w:val="00683ECE"/>
    <w:rsid w:val="00690EE8"/>
    <w:rsid w:val="00695FC2"/>
    <w:rsid w:val="00696949"/>
    <w:rsid w:val="00697052"/>
    <w:rsid w:val="006A4169"/>
    <w:rsid w:val="006A46FB"/>
    <w:rsid w:val="006A5E28"/>
    <w:rsid w:val="006A6972"/>
    <w:rsid w:val="006A697B"/>
    <w:rsid w:val="006A7AFF"/>
    <w:rsid w:val="006B1816"/>
    <w:rsid w:val="006B2099"/>
    <w:rsid w:val="006B50CF"/>
    <w:rsid w:val="006C03B8"/>
    <w:rsid w:val="006C5EC9"/>
    <w:rsid w:val="006C6059"/>
    <w:rsid w:val="006C7522"/>
    <w:rsid w:val="006D150D"/>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2A5"/>
    <w:rsid w:val="0070346E"/>
    <w:rsid w:val="00704EDB"/>
    <w:rsid w:val="00706101"/>
    <w:rsid w:val="00707072"/>
    <w:rsid w:val="00707D61"/>
    <w:rsid w:val="007110DA"/>
    <w:rsid w:val="00712287"/>
    <w:rsid w:val="00712772"/>
    <w:rsid w:val="007148D3"/>
    <w:rsid w:val="00715B9A"/>
    <w:rsid w:val="00721B32"/>
    <w:rsid w:val="007257D0"/>
    <w:rsid w:val="00725BB7"/>
    <w:rsid w:val="00726EA6"/>
    <w:rsid w:val="00727208"/>
    <w:rsid w:val="00727680"/>
    <w:rsid w:val="0073030B"/>
    <w:rsid w:val="007348B1"/>
    <w:rsid w:val="007362A6"/>
    <w:rsid w:val="00736D7D"/>
    <w:rsid w:val="00740E58"/>
    <w:rsid w:val="0074129C"/>
    <w:rsid w:val="007445A0"/>
    <w:rsid w:val="0074524B"/>
    <w:rsid w:val="00747D8B"/>
    <w:rsid w:val="00751228"/>
    <w:rsid w:val="007571E1"/>
    <w:rsid w:val="007604B2"/>
    <w:rsid w:val="00765281"/>
    <w:rsid w:val="00766BAD"/>
    <w:rsid w:val="007729A2"/>
    <w:rsid w:val="007739A6"/>
    <w:rsid w:val="00774B61"/>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44B6"/>
    <w:rsid w:val="007A58A6"/>
    <w:rsid w:val="007B1E70"/>
    <w:rsid w:val="007B3D2D"/>
    <w:rsid w:val="007B40FF"/>
    <w:rsid w:val="007B50AE"/>
    <w:rsid w:val="007B51DF"/>
    <w:rsid w:val="007C05DD"/>
    <w:rsid w:val="007C3D18"/>
    <w:rsid w:val="007C60BF"/>
    <w:rsid w:val="007C6A07"/>
    <w:rsid w:val="007C75A1"/>
    <w:rsid w:val="007C77A5"/>
    <w:rsid w:val="007D04E5"/>
    <w:rsid w:val="007D5467"/>
    <w:rsid w:val="007D5901"/>
    <w:rsid w:val="007D7526"/>
    <w:rsid w:val="007E08F4"/>
    <w:rsid w:val="007E4610"/>
    <w:rsid w:val="007E4715"/>
    <w:rsid w:val="007E505B"/>
    <w:rsid w:val="007E7091"/>
    <w:rsid w:val="00803FAE"/>
    <w:rsid w:val="00804048"/>
    <w:rsid w:val="0080605F"/>
    <w:rsid w:val="00807786"/>
    <w:rsid w:val="00811FCB"/>
    <w:rsid w:val="008158D6"/>
    <w:rsid w:val="00817196"/>
    <w:rsid w:val="008235DB"/>
    <w:rsid w:val="00824AB4"/>
    <w:rsid w:val="00825C42"/>
    <w:rsid w:val="00825D25"/>
    <w:rsid w:val="00827D6F"/>
    <w:rsid w:val="0083546B"/>
    <w:rsid w:val="008376AC"/>
    <w:rsid w:val="00842F85"/>
    <w:rsid w:val="008444E8"/>
    <w:rsid w:val="00844E80"/>
    <w:rsid w:val="00846FE7"/>
    <w:rsid w:val="00856911"/>
    <w:rsid w:val="008656E8"/>
    <w:rsid w:val="008677FD"/>
    <w:rsid w:val="008706D4"/>
    <w:rsid w:val="00870F8A"/>
    <w:rsid w:val="008719A4"/>
    <w:rsid w:val="00871D23"/>
    <w:rsid w:val="00872ACD"/>
    <w:rsid w:val="00874312"/>
    <w:rsid w:val="0087437C"/>
    <w:rsid w:val="00875CD7"/>
    <w:rsid w:val="00876B4D"/>
    <w:rsid w:val="00877F18"/>
    <w:rsid w:val="008941E3"/>
    <w:rsid w:val="00894A88"/>
    <w:rsid w:val="00895386"/>
    <w:rsid w:val="008962D8"/>
    <w:rsid w:val="008A21FF"/>
    <w:rsid w:val="008A2CE2"/>
    <w:rsid w:val="008A30AC"/>
    <w:rsid w:val="008A44B8"/>
    <w:rsid w:val="008A51A8"/>
    <w:rsid w:val="008A54C7"/>
    <w:rsid w:val="008A77D8"/>
    <w:rsid w:val="008A7B73"/>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617"/>
    <w:rsid w:val="0090336B"/>
    <w:rsid w:val="009036F7"/>
    <w:rsid w:val="009053AA"/>
    <w:rsid w:val="00906939"/>
    <w:rsid w:val="00910B7D"/>
    <w:rsid w:val="00911DFB"/>
    <w:rsid w:val="009139D9"/>
    <w:rsid w:val="00914AD8"/>
    <w:rsid w:val="00916079"/>
    <w:rsid w:val="00917CE9"/>
    <w:rsid w:val="0092075B"/>
    <w:rsid w:val="00920BF2"/>
    <w:rsid w:val="00922010"/>
    <w:rsid w:val="00931BD9"/>
    <w:rsid w:val="009368F3"/>
    <w:rsid w:val="00940656"/>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7E5"/>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001"/>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C4E"/>
    <w:rsid w:val="00A67E6C"/>
    <w:rsid w:val="00A71B99"/>
    <w:rsid w:val="00A739D0"/>
    <w:rsid w:val="00A761D4"/>
    <w:rsid w:val="00A768D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E5032"/>
    <w:rsid w:val="00AF1C5D"/>
    <w:rsid w:val="00AF42D7"/>
    <w:rsid w:val="00B006FE"/>
    <w:rsid w:val="00B007CB"/>
    <w:rsid w:val="00B02AA9"/>
    <w:rsid w:val="00B02FA3"/>
    <w:rsid w:val="00B05084"/>
    <w:rsid w:val="00B157F9"/>
    <w:rsid w:val="00B15EE2"/>
    <w:rsid w:val="00B20256"/>
    <w:rsid w:val="00B20D09"/>
    <w:rsid w:val="00B2763F"/>
    <w:rsid w:val="00B27AAC"/>
    <w:rsid w:val="00B30929"/>
    <w:rsid w:val="00B335F8"/>
    <w:rsid w:val="00B372AA"/>
    <w:rsid w:val="00B40445"/>
    <w:rsid w:val="00B409E0"/>
    <w:rsid w:val="00B41888"/>
    <w:rsid w:val="00B45A52"/>
    <w:rsid w:val="00B46175"/>
    <w:rsid w:val="00B548B7"/>
    <w:rsid w:val="00B664C7"/>
    <w:rsid w:val="00B713D8"/>
    <w:rsid w:val="00B739F6"/>
    <w:rsid w:val="00B81A6C"/>
    <w:rsid w:val="00B85DE5"/>
    <w:rsid w:val="00B90F73"/>
    <w:rsid w:val="00B9187E"/>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0C4C"/>
    <w:rsid w:val="00C279B5"/>
    <w:rsid w:val="00C27C45"/>
    <w:rsid w:val="00C3719D"/>
    <w:rsid w:val="00C37CB2"/>
    <w:rsid w:val="00C37E77"/>
    <w:rsid w:val="00C473A5"/>
    <w:rsid w:val="00C54995"/>
    <w:rsid w:val="00C54D41"/>
    <w:rsid w:val="00C60783"/>
    <w:rsid w:val="00C64672"/>
    <w:rsid w:val="00C66AF7"/>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A75"/>
    <w:rsid w:val="00CB7170"/>
    <w:rsid w:val="00CC040E"/>
    <w:rsid w:val="00CC111F"/>
    <w:rsid w:val="00CC2011"/>
    <w:rsid w:val="00CC3EA0"/>
    <w:rsid w:val="00CC7B45"/>
    <w:rsid w:val="00CD1188"/>
    <w:rsid w:val="00CD2ED1"/>
    <w:rsid w:val="00CD337B"/>
    <w:rsid w:val="00CD33A0"/>
    <w:rsid w:val="00CD7786"/>
    <w:rsid w:val="00CE0424"/>
    <w:rsid w:val="00CE7561"/>
    <w:rsid w:val="00CF1354"/>
    <w:rsid w:val="00CF3B1F"/>
    <w:rsid w:val="00CF3BF6"/>
    <w:rsid w:val="00CF625B"/>
    <w:rsid w:val="00CF687E"/>
    <w:rsid w:val="00CF773E"/>
    <w:rsid w:val="00D0349B"/>
    <w:rsid w:val="00D06FCC"/>
    <w:rsid w:val="00D10249"/>
    <w:rsid w:val="00D115C3"/>
    <w:rsid w:val="00D11897"/>
    <w:rsid w:val="00D13135"/>
    <w:rsid w:val="00D13E4E"/>
    <w:rsid w:val="00D239A7"/>
    <w:rsid w:val="00D23F47"/>
    <w:rsid w:val="00D259A5"/>
    <w:rsid w:val="00D36E71"/>
    <w:rsid w:val="00D37D87"/>
    <w:rsid w:val="00D40B33"/>
    <w:rsid w:val="00D4318F"/>
    <w:rsid w:val="00D438BF"/>
    <w:rsid w:val="00D440F8"/>
    <w:rsid w:val="00D5283B"/>
    <w:rsid w:val="00D546FF"/>
    <w:rsid w:val="00D54829"/>
    <w:rsid w:val="00D55AD5"/>
    <w:rsid w:val="00D576CA"/>
    <w:rsid w:val="00D61AF5"/>
    <w:rsid w:val="00D652B5"/>
    <w:rsid w:val="00D66155"/>
    <w:rsid w:val="00D708B0"/>
    <w:rsid w:val="00D766A7"/>
    <w:rsid w:val="00D77B1D"/>
    <w:rsid w:val="00D8021F"/>
    <w:rsid w:val="00D80383"/>
    <w:rsid w:val="00D823C6"/>
    <w:rsid w:val="00D8327F"/>
    <w:rsid w:val="00D86CA3"/>
    <w:rsid w:val="00D871CE"/>
    <w:rsid w:val="00D9196D"/>
    <w:rsid w:val="00D92982"/>
    <w:rsid w:val="00D97C21"/>
    <w:rsid w:val="00DA305E"/>
    <w:rsid w:val="00DA5417"/>
    <w:rsid w:val="00DA56E8"/>
    <w:rsid w:val="00DB0A9F"/>
    <w:rsid w:val="00DB1F21"/>
    <w:rsid w:val="00DB377D"/>
    <w:rsid w:val="00DC2D36"/>
    <w:rsid w:val="00DC53EF"/>
    <w:rsid w:val="00DE5608"/>
    <w:rsid w:val="00DE58D0"/>
    <w:rsid w:val="00DE654F"/>
    <w:rsid w:val="00DF0B6E"/>
    <w:rsid w:val="00DF15E0"/>
    <w:rsid w:val="00DF3625"/>
    <w:rsid w:val="00DF37A0"/>
    <w:rsid w:val="00DF3A17"/>
    <w:rsid w:val="00DF5197"/>
    <w:rsid w:val="00E110E7"/>
    <w:rsid w:val="00E11B20"/>
    <w:rsid w:val="00E17FA2"/>
    <w:rsid w:val="00E22330"/>
    <w:rsid w:val="00E275A4"/>
    <w:rsid w:val="00E30B5A"/>
    <w:rsid w:val="00E3123D"/>
    <w:rsid w:val="00E31461"/>
    <w:rsid w:val="00E31D43"/>
    <w:rsid w:val="00E32608"/>
    <w:rsid w:val="00E34188"/>
    <w:rsid w:val="00E34B6E"/>
    <w:rsid w:val="00E35559"/>
    <w:rsid w:val="00E3723A"/>
    <w:rsid w:val="00E37860"/>
    <w:rsid w:val="00E40BB4"/>
    <w:rsid w:val="00E446F1"/>
    <w:rsid w:val="00E46886"/>
    <w:rsid w:val="00E47AEF"/>
    <w:rsid w:val="00E53B75"/>
    <w:rsid w:val="00E54E3B"/>
    <w:rsid w:val="00E57565"/>
    <w:rsid w:val="00E60B8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1999"/>
    <w:rsid w:val="00ED1E2D"/>
    <w:rsid w:val="00EF18FE"/>
    <w:rsid w:val="00EF3E07"/>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3372"/>
    <w:rsid w:val="00F43C5F"/>
    <w:rsid w:val="00F4766C"/>
    <w:rsid w:val="00F5060E"/>
    <w:rsid w:val="00F507D1"/>
    <w:rsid w:val="00F519CE"/>
    <w:rsid w:val="00F51ADA"/>
    <w:rsid w:val="00F60203"/>
    <w:rsid w:val="00F607C5"/>
    <w:rsid w:val="00F60DEA"/>
    <w:rsid w:val="00F6302A"/>
    <w:rsid w:val="00F63873"/>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48C"/>
    <w:rsid w:val="00F92782"/>
    <w:rsid w:val="00F93AA9"/>
    <w:rsid w:val="00F96985"/>
    <w:rsid w:val="00F97838"/>
    <w:rsid w:val="00FA2BB3"/>
    <w:rsid w:val="00FB2374"/>
    <w:rsid w:val="00FB4C80"/>
    <w:rsid w:val="00FB6A6A"/>
    <w:rsid w:val="00FC7429"/>
    <w:rsid w:val="00FD04C9"/>
    <w:rsid w:val="00FD07F6"/>
    <w:rsid w:val="00FD1EC8"/>
    <w:rsid w:val="00FD47ED"/>
    <w:rsid w:val="00FD74DB"/>
    <w:rsid w:val="00FD7660"/>
    <w:rsid w:val="00FE0655"/>
    <w:rsid w:val="00FE2365"/>
    <w:rsid w:val="00FE37D7"/>
    <w:rsid w:val="00FE4C7B"/>
    <w:rsid w:val="00FE7336"/>
    <w:rsid w:val="00FE787C"/>
    <w:rsid w:val="00FF45A5"/>
    <w:rsid w:val="00FF5C91"/>
    <w:rsid w:val="06CD5472"/>
    <w:rsid w:val="09286165"/>
    <w:rsid w:val="1EEE5750"/>
    <w:rsid w:val="287C1139"/>
    <w:rsid w:val="309DED9B"/>
    <w:rsid w:val="31AAD8EB"/>
    <w:rsid w:val="61B30704"/>
    <w:rsid w:val="626DBBA2"/>
    <w:rsid w:val="77E26D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2E39A71-9CF8-44D7-A9F1-23D6AC146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786"/>
    <w:rPr>
      <w:rFonts w:ascii="Times New Roman" w:hAnsi="Times New Roman"/>
      <w:sz w:val="24"/>
      <w:szCs w:val="24"/>
      <w:lang w:val="sv-SE" w:eastAsia="sv-SE"/>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7E08F4"/>
    <w:pPr>
      <w:spacing w:after="120"/>
      <w:jc w:val="both"/>
    </w:pPr>
    <w:rPr>
      <w:rFonts w:ascii="Arial" w:hAnsi="Arial" w:cs="Arial"/>
      <w:sz w:val="20"/>
      <w:szCs w:val="20"/>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7E08F4"/>
    <w:rPr>
      <w:rFonts w:ascii="Arial" w:hAnsi="Arial" w:cs="Arial"/>
      <w:lang w:val="sv-SE"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4-Accent1">
    <w:name w:val="Grid Table 4 Accent 1"/>
    <w:basedOn w:val="TableNormal"/>
    <w:uiPriority w:val="49"/>
    <w:rsid w:val="00DB1F2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1">
    <w:name w:val="Table Grid1"/>
    <w:basedOn w:val="TableNormal"/>
    <w:next w:val="TableGrid"/>
    <w:uiPriority w:val="39"/>
    <w:rsid w:val="00D259A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D778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338870">
      <w:bodyDiv w:val="1"/>
      <w:marLeft w:val="0"/>
      <w:marRight w:val="0"/>
      <w:marTop w:val="0"/>
      <w:marBottom w:val="0"/>
      <w:divBdr>
        <w:top w:val="none" w:sz="0" w:space="0" w:color="auto"/>
        <w:left w:val="none" w:sz="0" w:space="0" w:color="auto"/>
        <w:bottom w:val="none" w:sz="0" w:space="0" w:color="auto"/>
        <w:right w:val="none" w:sz="0" w:space="0" w:color="auto"/>
      </w:divBdr>
    </w:div>
    <w:div w:id="108622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6DF25-947F-45E7-8BCE-B65A53EA25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documentManagement/types"/>
    <ds:schemaRef ds:uri="2f282d3b-eb4a-4b09-b61f-b9593442e286"/>
    <ds:schemaRef ds:uri="http://www.w3.org/XML/1998/namespace"/>
    <ds:schemaRef ds:uri="http://purl.org/dc/elements/1.1/"/>
    <ds:schemaRef ds:uri="http://purl.org/dc/terms/"/>
    <ds:schemaRef ds:uri="http://schemas.microsoft.com/office/2006/metadata/properties"/>
    <ds:schemaRef ds:uri="http://purl.org/dc/dcmitype/"/>
    <ds:schemaRef ds:uri="http://schemas.openxmlformats.org/package/2006/metadata/core-propertie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0583CCA-1F20-4A87-95F3-F609FCB2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1410</Words>
  <Characters>7995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3</cp:revision>
  <cp:lastPrinted>2021-01-18T07:23:00Z</cp:lastPrinted>
  <dcterms:created xsi:type="dcterms:W3CDTF">2021-04-06T16:33:00Z</dcterms:created>
  <dcterms:modified xsi:type="dcterms:W3CDTF">2021-04-06T17:54:00Z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